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spacing w:before="0" w:after="0" w:line="590" w:lineRule="exact"/>
        <w:ind w:firstLine="827" w:firstLineChars="188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Toc2794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武胜县智慧停车提升改造项目</w:t>
      </w:r>
    </w:p>
    <w:p>
      <w:pPr>
        <w:pStyle w:val="4"/>
        <w:keepNext w:val="0"/>
        <w:keepLines w:val="0"/>
        <w:spacing w:before="0" w:after="0" w:line="590" w:lineRule="exact"/>
        <w:ind w:firstLine="827" w:firstLineChars="188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投资建设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方案</w:t>
      </w:r>
    </w:p>
    <w:p>
      <w:pPr>
        <w:pStyle w:val="4"/>
        <w:keepNext w:val="0"/>
        <w:keepLines w:val="0"/>
        <w:spacing w:before="0" w:after="0" w:line="590" w:lineRule="exact"/>
        <w:ind w:firstLine="830" w:firstLineChars="188"/>
        <w:rPr>
          <w:rFonts w:hint="default" w:ascii="Times New Roman" w:hAnsi="Times New Roman" w:eastAsia="方正小标宋_GBK" w:cs="Times New Roman"/>
          <w:sz w:val="44"/>
          <w:szCs w:val="44"/>
        </w:rPr>
      </w:pPr>
    </w:p>
    <w:bookmarkEnd w:id="0"/>
    <w:p>
      <w:pPr>
        <w:spacing w:line="590" w:lineRule="exact"/>
        <w:ind w:firstLine="660" w:firstLineChars="200"/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</w:rPr>
        <w:t>一、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  <w:t>实施背景</w:t>
      </w:r>
    </w:p>
    <w:p>
      <w:pPr>
        <w:spacing w:line="590" w:lineRule="exact"/>
        <w:ind w:firstLine="620" w:firstLineChars="188"/>
        <w:jc w:val="both"/>
        <w:rPr>
          <w:rFonts w:hint="default" w:ascii="Times New Roman" w:hAnsi="Times New Roman" w:eastAsia="方正仿宋_GBK"/>
          <w:color w:val="000000"/>
          <w:sz w:val="33"/>
          <w:szCs w:val="33"/>
          <w:lang w:val="en-US" w:eastAsia="zh-Hans"/>
        </w:rPr>
      </w:pPr>
      <w:r>
        <w:rPr>
          <w:rFonts w:hint="default" w:ascii="Times New Roman" w:hAnsi="Times New Roman" w:eastAsia="方正仿宋_GBK"/>
          <w:color w:val="000000"/>
          <w:sz w:val="33"/>
          <w:szCs w:val="33"/>
          <w:lang w:val="en-US" w:eastAsia="zh-Hans"/>
        </w:rPr>
        <w:t>近年来武胜县的停车资源的匮乏、乱停乱放及传统停车收费模式的不规范性引发了一系列问题：交通拥堵、交通安全、违法停车、停车纠纷、跑冒滴漏。因此建立一套实时、高效、智能、可靠的停车管理与服务系统是十分必要的，在短期内无法大量增加停车资源供应量的情况之下，利用科技手段提高停车管理水平，促进现有资源的有效利用，提高公众停车服务水平，是缓解停车难矛盾的有效途径。随着“互联网＋”的兴起，“互联网＋停车”的深度融合，以智慧停车场、停车APP等为代表的“互联网＋停车”新业态迅速发展。一方面，引导停车管理走向智能化、信息化的科学合理发展轨道，规范停</w:t>
      </w:r>
      <w:bookmarkStart w:id="3" w:name="_GoBack"/>
      <w:bookmarkEnd w:id="3"/>
      <w:r>
        <w:rPr>
          <w:rFonts w:hint="default" w:ascii="Times New Roman" w:hAnsi="Times New Roman" w:eastAsia="方正仿宋_GBK"/>
          <w:color w:val="000000"/>
          <w:sz w:val="33"/>
          <w:szCs w:val="33"/>
          <w:lang w:val="en-US" w:eastAsia="zh-Hans"/>
        </w:rPr>
        <w:t>车秩序，盘活存量、发展增量、合理引导、加强规划，提升停车规划与建设、停车管理与监督等方面的工作效率。</w:t>
      </w:r>
    </w:p>
    <w:p>
      <w:pPr>
        <w:spacing w:line="590" w:lineRule="exact"/>
        <w:ind w:firstLine="620" w:firstLineChars="188"/>
        <w:jc w:val="both"/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</w:rPr>
      </w:pPr>
      <w:r>
        <w:rPr>
          <w:rFonts w:hint="default" w:ascii="Times New Roman" w:hAnsi="Times New Roman" w:eastAsia="方正仿宋_GBK"/>
          <w:color w:val="000000"/>
          <w:sz w:val="33"/>
          <w:szCs w:val="33"/>
          <w:lang w:val="en-US" w:eastAsia="zh-Hans"/>
        </w:rPr>
        <w:t>为响应国家号召，缓解武胜县城区交通拥堵、出行难、停车难等“城市病”，实施武胜县智慧停车提升改造项目，通过整合盘活停车资源，统筹推进停车场的规划建设和提档改造工作，助力武胜县城区生活便利，提升武胜县城市承载能力</w:t>
      </w:r>
      <w:r>
        <w:rPr>
          <w:rFonts w:hint="default" w:ascii="Times New Roman" w:hAnsi="Times New Roman" w:eastAsia="方正仿宋_GBK"/>
          <w:color w:val="000000"/>
          <w:sz w:val="33"/>
          <w:szCs w:val="33"/>
          <w:lang w:eastAsia="zh-CN"/>
        </w:rPr>
        <w:t>。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黑体_GBK" w:cs="Times New Roman"/>
          <w:bCs/>
          <w:color w:val="000000"/>
          <w:sz w:val="33"/>
          <w:szCs w:val="30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</w:rPr>
        <w:t>、项目概况</w:t>
      </w:r>
    </w:p>
    <w:p>
      <w:pPr>
        <w:spacing w:line="590" w:lineRule="exact"/>
        <w:ind w:firstLine="663" w:firstLineChars="200"/>
        <w:jc w:val="both"/>
        <w:rPr>
          <w:rFonts w:ascii="Times New Roman" w:hAnsi="Times New Roman" w:eastAsia="方正仿宋_GBK"/>
          <w:bCs/>
          <w:color w:val="000000"/>
          <w:sz w:val="33"/>
          <w:szCs w:val="30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（一）项目名称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3"/>
          <w:szCs w:val="32"/>
        </w:rPr>
        <w:t>：</w:t>
      </w:r>
      <w:r>
        <w:rPr>
          <w:rFonts w:hint="default" w:ascii="Times New Roman" w:hAnsi="Times New Roman" w:eastAsia="方正仿宋_GBK"/>
          <w:color w:val="000000"/>
          <w:sz w:val="33"/>
          <w:szCs w:val="33"/>
        </w:rPr>
        <w:t>武胜县智慧停车提升改造项目</w:t>
      </w:r>
    </w:p>
    <w:p>
      <w:pPr>
        <w:spacing w:line="590" w:lineRule="exact"/>
        <w:ind w:firstLine="663" w:firstLineChars="200"/>
        <w:jc w:val="both"/>
        <w:rPr>
          <w:rFonts w:hint="default" w:ascii="Times New Roman" w:hAnsi="Times New Roman" w:eastAsia="方正仿宋_GBK"/>
          <w:color w:val="000000"/>
          <w:sz w:val="33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（二）项目业主：</w:t>
      </w:r>
      <w:r>
        <w:rPr>
          <w:rFonts w:ascii="Times New Roman" w:hAnsi="Times New Roman" w:eastAsia="方正仿宋_GBK"/>
          <w:bCs/>
          <w:color w:val="000000"/>
          <w:sz w:val="33"/>
          <w:szCs w:val="30"/>
        </w:rPr>
        <w:t>武胜县</w:t>
      </w:r>
      <w:r>
        <w:rPr>
          <w:rFonts w:hint="default" w:ascii="Times New Roman" w:hAnsi="Times New Roman" w:eastAsia="方正仿宋_GBK"/>
          <w:bCs/>
          <w:color w:val="000000"/>
          <w:sz w:val="33"/>
          <w:szCs w:val="30"/>
          <w:lang w:val="en-US" w:eastAsia="zh-CN"/>
        </w:rPr>
        <w:t>智慧停车管理有限公司</w:t>
      </w:r>
    </w:p>
    <w:p>
      <w:pPr>
        <w:spacing w:line="590" w:lineRule="exact"/>
        <w:ind w:firstLine="663" w:firstLineChars="200"/>
        <w:jc w:val="both"/>
        <w:rPr>
          <w:rFonts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项目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建设地址及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主要建设内容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：</w:t>
      </w:r>
    </w:p>
    <w:p>
      <w:pPr>
        <w:spacing w:line="590" w:lineRule="exact"/>
        <w:ind w:firstLine="660" w:firstLineChars="200"/>
        <w:jc w:val="both"/>
        <w:rPr>
          <w:rFonts w:hint="default" w:ascii="Times New Roman" w:hAnsi="Times New Roman" w:eastAsia="方正仿宋_GBK"/>
          <w:color w:val="000000"/>
          <w:sz w:val="33"/>
          <w:lang w:val="en-US" w:eastAsia="zh-CN"/>
        </w:rPr>
      </w:pPr>
      <w:r>
        <w:rPr>
          <w:rFonts w:ascii="Times New Roman" w:hAnsi="Times New Roman" w:eastAsia="方正楷体_GBK"/>
          <w:color w:val="000000"/>
          <w:sz w:val="33"/>
        </w:rPr>
        <w:t>1.</w:t>
      </w:r>
      <w:r>
        <w:rPr>
          <w:rFonts w:ascii="Times New Roman" w:hAnsi="Times New Roman" w:eastAsia="方正仿宋_GBK"/>
          <w:b/>
          <w:bCs/>
          <w:snapToGrid w:val="0"/>
          <w:color w:val="000000"/>
          <w:kern w:val="0"/>
          <w:sz w:val="33"/>
          <w:szCs w:val="32"/>
        </w:rPr>
        <w:t>建设地址</w:t>
      </w:r>
      <w:r>
        <w:rPr>
          <w:rFonts w:ascii="Times New Roman" w:hAnsi="Times New Roman" w:eastAsia="方正仿宋_GBK"/>
          <w:snapToGrid w:val="0"/>
          <w:color w:val="000000"/>
          <w:kern w:val="0"/>
          <w:sz w:val="33"/>
          <w:szCs w:val="32"/>
        </w:rPr>
        <w:t>：武胜县</w:t>
      </w:r>
      <w:r>
        <w:rPr>
          <w:rFonts w:hint="default" w:ascii="Times New Roman" w:hAnsi="Times New Roman" w:eastAsia="方正仿宋_GBK"/>
          <w:snapToGrid w:val="0"/>
          <w:color w:val="000000"/>
          <w:kern w:val="0"/>
          <w:sz w:val="33"/>
          <w:szCs w:val="32"/>
          <w:lang w:val="en-US" w:eastAsia="zh-CN"/>
        </w:rPr>
        <w:t>行政区域范围内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仿宋_GBK"/>
          <w:snapToGrid w:val="0"/>
          <w:color w:val="000000"/>
          <w:kern w:val="0"/>
          <w:sz w:val="33"/>
          <w:szCs w:val="32"/>
        </w:rPr>
      </w:pPr>
      <w:r>
        <w:rPr>
          <w:rFonts w:ascii="Times New Roman" w:hAnsi="Times New Roman" w:eastAsia="方正楷体_GBK"/>
          <w:color w:val="000000"/>
          <w:sz w:val="33"/>
        </w:rPr>
        <w:t>2.</w:t>
      </w:r>
      <w:r>
        <w:rPr>
          <w:rFonts w:ascii="Times New Roman" w:hAnsi="Times New Roman" w:eastAsia="方正仿宋_GBK"/>
          <w:b/>
          <w:bCs/>
          <w:snapToGrid w:val="0"/>
          <w:color w:val="000000"/>
          <w:kern w:val="0"/>
          <w:sz w:val="33"/>
          <w:szCs w:val="32"/>
        </w:rPr>
        <w:t>建设</w:t>
      </w:r>
      <w:r>
        <w:rPr>
          <w:rFonts w:hint="default" w:ascii="Times New Roman" w:hAnsi="Times New Roman" w:eastAsia="方正仿宋_GBK"/>
          <w:b/>
          <w:bCs/>
          <w:snapToGrid w:val="0"/>
          <w:color w:val="000000"/>
          <w:kern w:val="0"/>
          <w:sz w:val="33"/>
          <w:szCs w:val="32"/>
          <w:lang w:val="en-US" w:eastAsia="zh-CN"/>
        </w:rPr>
        <w:t>内容</w:t>
      </w:r>
      <w:r>
        <w:rPr>
          <w:rFonts w:ascii="Times New Roman" w:hAnsi="Times New Roman" w:eastAsia="方正仿宋_GBK"/>
          <w:snapToGrid w:val="0"/>
          <w:color w:val="000000"/>
          <w:kern w:val="0"/>
          <w:sz w:val="33"/>
          <w:szCs w:val="32"/>
        </w:rPr>
        <w:t>：</w:t>
      </w:r>
    </w:p>
    <w:p>
      <w:pPr>
        <w:spacing w:line="590" w:lineRule="exact"/>
        <w:ind w:firstLine="660" w:firstLineChars="200"/>
        <w:jc w:val="both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（1）购买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武胜县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行政区域范围内15307个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（其中城区路边及地下停车位实有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共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10307个、计划新建5000个）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停车泊位和500个新能源汽车充电桩经营权；</w:t>
      </w:r>
    </w:p>
    <w:p>
      <w:pPr>
        <w:spacing w:line="590" w:lineRule="exact"/>
        <w:ind w:firstLine="660" w:firstLineChars="200"/>
        <w:jc w:val="both"/>
        <w:rPr>
          <w:rFonts w:hint="default" w:ascii="Times New Roman" w:hAnsi="Times New Roman" w:eastAsia="方正仿宋_GBK"/>
          <w:sz w:val="33"/>
          <w:szCs w:val="33"/>
          <w:highlight w:val="yellow"/>
          <w:lang w:eastAsia="zh-CN"/>
        </w:rPr>
      </w:pPr>
      <w:r>
        <w:rPr>
          <w:rFonts w:hint="default" w:ascii="Times New Roman" w:hAnsi="Times New Roman" w:eastAsia="方正仿宋_GBK"/>
          <w:sz w:val="33"/>
          <w:szCs w:val="33"/>
          <w:highlight w:val="none"/>
          <w:lang w:eastAsia="zh-CN"/>
        </w:rPr>
        <w:t>（2）新建龙女湖片区、城东片区、城南片区、江北片区停车场。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hint="default" w:ascii="Times New Roman" w:hAnsi="Times New Roman" w:eastAsia="方正仿宋_GBK"/>
          <w:sz w:val="33"/>
          <w:szCs w:val="33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新建智能化停车管理系统等</w:t>
      </w:r>
      <w:r>
        <w:rPr>
          <w:rFonts w:ascii="Times New Roman" w:hAnsi="Times New Roman" w:eastAsia="方正仿宋_GBK"/>
          <w:sz w:val="33"/>
          <w:szCs w:val="33"/>
        </w:rPr>
        <w:t>。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仿宋_GBK"/>
          <w:color w:val="000000"/>
          <w:sz w:val="33"/>
          <w:szCs w:val="22"/>
          <w:highlight w:val="none"/>
        </w:rPr>
      </w:pPr>
      <w:r>
        <w:rPr>
          <w:rFonts w:ascii="Times New Roman" w:hAnsi="Times New Roman" w:eastAsia="方正楷体_GBK"/>
          <w:color w:val="000000"/>
          <w:sz w:val="33"/>
          <w:szCs w:val="22"/>
          <w:highlight w:val="none"/>
        </w:rPr>
        <w:t>3.</w:t>
      </w:r>
      <w:r>
        <w:rPr>
          <w:rFonts w:ascii="Times New Roman" w:hAnsi="Times New Roman" w:eastAsia="方正仿宋_GBK"/>
          <w:b/>
          <w:bCs/>
          <w:snapToGrid w:val="0"/>
          <w:color w:val="000000"/>
          <w:kern w:val="0"/>
          <w:sz w:val="33"/>
          <w:szCs w:val="32"/>
          <w:highlight w:val="none"/>
        </w:rPr>
        <w:t>建设期限</w:t>
      </w:r>
      <w:r>
        <w:rPr>
          <w:rFonts w:ascii="Times New Roman" w:hAnsi="Times New Roman" w:eastAsia="方正仿宋_GBK"/>
          <w:snapToGrid w:val="0"/>
          <w:color w:val="000000"/>
          <w:kern w:val="0"/>
          <w:sz w:val="33"/>
          <w:szCs w:val="32"/>
          <w:highlight w:val="none"/>
        </w:rPr>
        <w:t>：</w:t>
      </w:r>
      <w:r>
        <w:rPr>
          <w:rFonts w:hint="default" w:ascii="Times New Roman" w:hAnsi="Times New Roman" w:eastAsia="方正仿宋_GBK"/>
          <w:color w:val="000000"/>
          <w:sz w:val="33"/>
          <w:szCs w:val="22"/>
          <w:highlight w:val="none"/>
          <w:lang w:eastAsia="zh-CN"/>
        </w:rPr>
        <w:t>3</w:t>
      </w:r>
      <w:r>
        <w:rPr>
          <w:rFonts w:ascii="Times New Roman" w:hAnsi="Times New Roman" w:eastAsia="方正仿宋_GBK"/>
          <w:color w:val="000000"/>
          <w:sz w:val="33"/>
          <w:szCs w:val="22"/>
          <w:highlight w:val="none"/>
        </w:rPr>
        <w:t>年。</w:t>
      </w:r>
    </w:p>
    <w:p>
      <w:pPr>
        <w:spacing w:line="590" w:lineRule="exact"/>
        <w:ind w:firstLine="660" w:firstLineChars="200"/>
        <w:jc w:val="both"/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</w:rPr>
        <w:t>、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lang w:val="en-US" w:eastAsia="zh-CN"/>
        </w:rPr>
        <w:t>资金来源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仿宋_GBK"/>
          <w:color w:val="000000"/>
          <w:kern w:val="0"/>
          <w:sz w:val="33"/>
          <w:szCs w:val="32"/>
          <w:highlight w:val="none"/>
        </w:rPr>
      </w:pPr>
      <w:r>
        <w:rPr>
          <w:rFonts w:ascii="Times New Roman" w:hAnsi="Times New Roman" w:eastAsia="方正仿宋_GBK"/>
          <w:sz w:val="33"/>
          <w:szCs w:val="33"/>
          <w:highlight w:val="none"/>
        </w:rPr>
        <w:t>项目</w:t>
      </w:r>
      <w:r>
        <w:rPr>
          <w:rFonts w:hint="default" w:ascii="Times New Roman" w:hAnsi="Times New Roman" w:eastAsia="方正仿宋_GBK"/>
          <w:sz w:val="33"/>
          <w:szCs w:val="33"/>
          <w:highlight w:val="none"/>
        </w:rPr>
        <w:t>动态总投资68581.38万元，其中</w:t>
      </w:r>
      <w:r>
        <w:rPr>
          <w:rFonts w:hint="default" w:ascii="Times New Roman" w:hAnsi="Times New Roman" w:eastAsia="方正仿宋_GBK"/>
          <w:sz w:val="33"/>
          <w:szCs w:val="33"/>
          <w:highlight w:val="none"/>
          <w:lang w:val="en-US" w:eastAsia="zh-CN"/>
        </w:rPr>
        <w:t>拟向县农商行申请</w:t>
      </w:r>
      <w:r>
        <w:rPr>
          <w:rFonts w:hint="default" w:ascii="Times New Roman" w:hAnsi="Times New Roman" w:eastAsia="方正仿宋_GBK"/>
          <w:sz w:val="33"/>
          <w:szCs w:val="33"/>
          <w:highlight w:val="none"/>
        </w:rPr>
        <w:t>借款51000.00万元，占总投资的74.36%，</w:t>
      </w:r>
      <w:r>
        <w:rPr>
          <w:rFonts w:hint="default" w:ascii="Times New Roman" w:hAnsi="Times New Roman" w:eastAsia="方正仿宋_GBK"/>
          <w:sz w:val="33"/>
          <w:szCs w:val="33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方正仿宋_GBK"/>
          <w:sz w:val="33"/>
          <w:szCs w:val="33"/>
          <w:highlight w:val="none"/>
        </w:rPr>
        <w:t>自筹资金17581.38万元，占总投资的25.64%</w:t>
      </w:r>
      <w:r>
        <w:rPr>
          <w:rFonts w:ascii="Times New Roman" w:hAnsi="Times New Roman" w:eastAsia="方正仿宋_GBK"/>
          <w:color w:val="000000"/>
          <w:kern w:val="0"/>
          <w:sz w:val="33"/>
          <w:szCs w:val="32"/>
          <w:highlight w:val="none"/>
        </w:rPr>
        <w:t>。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bCs/>
          <w:color w:val="000000"/>
          <w:sz w:val="33"/>
          <w:szCs w:val="30"/>
          <w:highlight w:val="none"/>
          <w:lang w:val="en-US" w:eastAsia="zh-CN"/>
        </w:rPr>
        <w:t>融资计划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  <w:t>贷款金额：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000.00万元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【具体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3"/>
          <w:szCs w:val="32"/>
          <w:lang w:val="en-US" w:eastAsia="zh-CN"/>
        </w:rPr>
        <w:t>以银行审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批为准】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firstLine="66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 w:bidi="ar-SA"/>
        </w:rPr>
        <w:t>融资主体：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武胜县智慧停车管理有限公司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0" w:leftChars="0" w:firstLine="663" w:firstLineChars="200"/>
        <w:jc w:val="both"/>
        <w:textAlignment w:val="auto"/>
        <w:rPr>
          <w:rFonts w:hint="default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（三）担保公司：</w:t>
      </w:r>
      <w:r>
        <w:rPr>
          <w:rFonts w:hint="default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武胜县银财投资有限责任公司，担保方式为保证担保。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0" w:leftChars="0" w:firstLine="663" w:firstLineChars="200"/>
        <w:jc w:val="both"/>
        <w:textAlignment w:val="auto"/>
        <w:rPr>
          <w:rFonts w:hint="default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3"/>
          <w:szCs w:val="33"/>
          <w:highlight w:val="none"/>
          <w:lang w:val="en-US" w:eastAsia="zh-CN" w:bidi="ar-SA"/>
        </w:rPr>
        <w:t>（四）融资服务：</w:t>
      </w:r>
      <w:r>
        <w:rPr>
          <w:rFonts w:hint="default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  <w:t>资服务可研费用招标控制价为实际融资金额的0.13%以内。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6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  <w:t>贷款期限：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eastAsia="zh-CN" w:bidi="ar-SA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年，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highlight w:val="none"/>
          <w:lang w:val="en-US" w:eastAsia="zh-CN"/>
        </w:rPr>
        <w:t>其中建设期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，经营期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eastAsia="zh-CN"/>
        </w:rPr>
        <w:t>22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6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  <w:t>贷款利率：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5%年利率【具体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3"/>
          <w:szCs w:val="32"/>
          <w:lang w:val="en-US" w:eastAsia="zh-CN"/>
        </w:rPr>
        <w:t>以银行审批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3"/>
          <w:szCs w:val="32"/>
          <w:lang w:val="en-US" w:eastAsia="zh-CN"/>
        </w:rPr>
        <w:t>为准】</w:t>
      </w:r>
    </w:p>
    <w:p>
      <w:pPr>
        <w:spacing w:line="590" w:lineRule="exact"/>
        <w:ind w:firstLine="663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/>
        </w:rPr>
        <w:t>还款计划：</w:t>
      </w:r>
      <w:r>
        <w:rPr>
          <w:rFonts w:hint="default" w:ascii="Times New Roman" w:hAnsi="Times New Roman" w:eastAsia="方正仿宋_GBK"/>
          <w:sz w:val="33"/>
          <w:szCs w:val="33"/>
        </w:rPr>
        <w:t>项目建成后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计划</w:t>
      </w:r>
      <w:r>
        <w:rPr>
          <w:rFonts w:hint="default" w:ascii="Times New Roman" w:hAnsi="Times New Roman" w:eastAsia="方正仿宋_GBK"/>
          <w:sz w:val="33"/>
          <w:szCs w:val="33"/>
        </w:rPr>
        <w:t>分22年还款，每一年归还本金时间为每年6月20日和12月20日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/>
          <w:sz w:val="33"/>
          <w:szCs w:val="33"/>
        </w:rPr>
        <w:t>各归还当年应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偿还</w:t>
      </w:r>
      <w:r>
        <w:rPr>
          <w:rFonts w:hint="default" w:ascii="Times New Roman" w:hAnsi="Times New Roman" w:eastAsia="方正仿宋_GBK"/>
          <w:sz w:val="33"/>
          <w:szCs w:val="33"/>
        </w:rPr>
        <w:t>本金的一半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/>
          <w:sz w:val="33"/>
          <w:szCs w:val="33"/>
        </w:rPr>
        <w:t>预计第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4</w:t>
      </w:r>
      <w:r>
        <w:rPr>
          <w:rFonts w:hint="default" w:ascii="Times New Roman" w:hAnsi="Times New Roman" w:eastAsia="方正仿宋_GBK"/>
          <w:sz w:val="33"/>
          <w:szCs w:val="33"/>
        </w:rPr>
        <w:t>年至第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7</w:t>
      </w:r>
      <w:r>
        <w:rPr>
          <w:rFonts w:hint="default" w:ascii="Times New Roman" w:hAnsi="Times New Roman" w:eastAsia="方正仿宋_GBK"/>
          <w:sz w:val="33"/>
          <w:szCs w:val="33"/>
        </w:rPr>
        <w:t>年每年归还本金1500万元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方正仿宋_GBK"/>
          <w:sz w:val="33"/>
          <w:szCs w:val="33"/>
        </w:rPr>
        <w:t>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8</w:t>
      </w:r>
      <w:r>
        <w:rPr>
          <w:rFonts w:hint="default" w:ascii="Times New Roman" w:hAnsi="Times New Roman" w:eastAsia="方正仿宋_GBK"/>
          <w:sz w:val="33"/>
          <w:szCs w:val="33"/>
        </w:rPr>
        <w:t>年至第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11</w:t>
      </w:r>
      <w:r>
        <w:rPr>
          <w:rFonts w:hint="default" w:ascii="Times New Roman" w:hAnsi="Times New Roman" w:eastAsia="方正仿宋_GBK"/>
          <w:sz w:val="33"/>
          <w:szCs w:val="33"/>
        </w:rPr>
        <w:t>年每年归还本金2000万元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方正仿宋_GBK"/>
          <w:sz w:val="33"/>
          <w:szCs w:val="33"/>
        </w:rPr>
        <w:t>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12</w:t>
      </w:r>
      <w:r>
        <w:rPr>
          <w:rFonts w:hint="default" w:ascii="Times New Roman" w:hAnsi="Times New Roman" w:eastAsia="方正仿宋_GBK"/>
          <w:sz w:val="33"/>
          <w:szCs w:val="33"/>
        </w:rPr>
        <w:t>年至第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23</w:t>
      </w:r>
      <w:r>
        <w:rPr>
          <w:rFonts w:hint="default" w:ascii="Times New Roman" w:hAnsi="Times New Roman" w:eastAsia="方正仿宋_GBK"/>
          <w:sz w:val="33"/>
          <w:szCs w:val="33"/>
        </w:rPr>
        <w:t>年每年归还本金2500万元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方正仿宋_GBK"/>
          <w:sz w:val="33"/>
          <w:szCs w:val="33"/>
        </w:rPr>
        <w:t>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24</w:t>
      </w:r>
      <w:r>
        <w:rPr>
          <w:rFonts w:hint="default" w:ascii="Times New Roman" w:hAnsi="Times New Roman" w:eastAsia="方正仿宋_GBK"/>
          <w:sz w:val="33"/>
          <w:szCs w:val="33"/>
        </w:rPr>
        <w:t>年至第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25</w:t>
      </w:r>
      <w:r>
        <w:rPr>
          <w:rFonts w:hint="default" w:ascii="Times New Roman" w:hAnsi="Times New Roman" w:eastAsia="方正仿宋_GBK"/>
          <w:sz w:val="33"/>
          <w:szCs w:val="33"/>
        </w:rPr>
        <w:t>年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每年</w:t>
      </w:r>
      <w:r>
        <w:rPr>
          <w:rFonts w:hint="default" w:ascii="Times New Roman" w:hAnsi="Times New Roman" w:eastAsia="方正仿宋_GBK"/>
          <w:sz w:val="33"/>
          <w:szCs w:val="33"/>
        </w:rPr>
        <w:t>归还本金3500万元</w:t>
      </w:r>
      <w:r>
        <w:rPr>
          <w:rFonts w:ascii="Times New Roman" w:hAnsi="Times New Roman" w:eastAsia="方正仿宋_GBK"/>
          <w:sz w:val="33"/>
          <w:szCs w:val="33"/>
        </w:rPr>
        <w:t>。</w:t>
      </w:r>
    </w:p>
    <w:p>
      <w:pPr>
        <w:spacing w:line="590" w:lineRule="exact"/>
        <w:ind w:firstLine="666" w:firstLineChars="201"/>
        <w:jc w:val="both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</w:rPr>
        <w:t>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33"/>
          <w:szCs w:val="32"/>
          <w:lang w:val="en-US" w:eastAsia="zh-CN" w:bidi="ar-SA"/>
        </w:rPr>
        <w:t>还款来源：</w:t>
      </w:r>
      <w:r>
        <w:rPr>
          <w:rFonts w:ascii="Times New Roman" w:hAnsi="Times New Roman" w:eastAsia="方正仿宋_GBK"/>
          <w:sz w:val="33"/>
          <w:szCs w:val="33"/>
        </w:rPr>
        <w:t>根据项目的市场分析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，</w:t>
      </w:r>
      <w:r>
        <w:rPr>
          <w:rFonts w:ascii="Times New Roman" w:hAnsi="Times New Roman" w:eastAsia="方正仿宋_GBK"/>
          <w:sz w:val="33"/>
          <w:szCs w:val="33"/>
        </w:rPr>
        <w:t>本项目收入来源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为停车场收入及充电桩收入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。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详情如下：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eastAsia="zh-Hans"/>
        </w:rPr>
      </w:pP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1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.停车场收入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：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eastAsia="zh-Hans"/>
        </w:rPr>
      </w:pP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（1）规模：本项目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共计15307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个停车位。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eastAsia="zh-Hans"/>
        </w:rPr>
      </w:pP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（2）收费标准：根据武发改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函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〔2019〕17号以及武发改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函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〔2019〕394号规定，参考同类型地下停车场小型汽车停放：30分钟（含）内免费停车；30分钟以上至4个小时（含）以内3元/辆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/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次；4个小时后每超过1个小时加收1元/辆（不足1小时的按1小时计算）；一天（24小时）最高不超过15元/辆。连续停放超过24小时后，按上述规定重新计费。</w:t>
      </w:r>
    </w:p>
    <w:p>
      <w:pPr>
        <w:spacing w:line="590" w:lineRule="exact"/>
        <w:ind w:firstLine="663" w:firstLineChars="201"/>
        <w:jc w:val="both"/>
        <w:rPr>
          <w:rFonts w:ascii="Times New Roman" w:hAnsi="Times New Roman" w:eastAsia="方正仿宋_GBK"/>
          <w:sz w:val="33"/>
          <w:szCs w:val="33"/>
          <w:lang w:eastAsia="zh-Hans"/>
        </w:rPr>
      </w:pP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根据收费标准，按照每辆车停车1小时至24小时不同24种情况测算出每种情况单个停车位的收入，再测算出每个停车位一天的平均收入为23.04元/个/天。根据谨慎原则，本项目测算地下停车位收费单价按14元/个/天，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由于市场不稳定因素本次测算运营期前三年考虑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停车率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分别为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40%、45%、50%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第三年后不再上涨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。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因此预计运营期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2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年内停车场收入为89760.30万元</w:t>
      </w:r>
      <w:r>
        <w:rPr>
          <w:rFonts w:ascii="Times New Roman" w:hAnsi="Times New Roman" w:eastAsia="方正仿宋_GBK"/>
          <w:sz w:val="33"/>
          <w:szCs w:val="33"/>
          <w:lang w:eastAsia="zh-Hans"/>
        </w:rPr>
        <w:t>。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eastAsia="zh-Hans"/>
        </w:rPr>
      </w:pP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2.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充电桩收入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：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（1）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规模：本项目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拟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新建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500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个充电桩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。</w:t>
      </w:r>
    </w:p>
    <w:p>
      <w:pPr>
        <w:spacing w:line="590" w:lineRule="exact"/>
        <w:ind w:firstLine="663" w:firstLineChars="201"/>
        <w:jc w:val="both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（2）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收费标准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：充电电费收入归电力主管部门所有，本项目仅收取充电桩服务费。本着谨慎性原则，日运营时长按8小时计取，年运营天数365天。参照《27省市电动汽车换电服务费标准情况》、达州市现有充电桩服务费收费标准，本项目充电桩充电服务费收费单价按0.6元/千瓦时（含税价）估算</w:t>
      </w:r>
      <w:r>
        <w:rPr>
          <w:rFonts w:hint="default" w:ascii="Times New Roman" w:hAnsi="Times New Roman" w:eastAsia="方正仿宋_GBK"/>
          <w:sz w:val="33"/>
          <w:szCs w:val="33"/>
          <w:lang w:val="en-US" w:eastAsia="zh-CN"/>
        </w:rPr>
        <w:t>。</w:t>
      </w:r>
    </w:p>
    <w:p>
      <w:pPr>
        <w:spacing w:line="59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本项目500个充电桩，查询市场上主流电动汽车（特斯拉model3电池容量75kwh；比亚迪汉EV电池容量85.4kwh；小鹏P7电池容量60.2kwh；吉利帝豪EV500电池容量61.9kwh；比亚迪秦Pro电池容量69.5kwh；帝豪Gse 600电池容量61.9kwh），基于谨慎性原则，本项目取电动汽车平均容量60kwh，充电桩使用率按运营期第一年30%，第二年35%，第三年达到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40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%后保持不变。每年充电桩收入=充电桩数量*电池容量*日运营时长*使用率*服务费*年运营天数。预计运营期内充电桩收入共计48103.62万元</w:t>
      </w:r>
      <w:r>
        <w:rPr>
          <w:rFonts w:ascii="Times New Roman" w:hAnsi="Times New Roman" w:eastAsia="方正仿宋_GBK"/>
          <w:sz w:val="33"/>
          <w:szCs w:val="33"/>
        </w:rPr>
        <w:t>。</w:t>
      </w:r>
    </w:p>
    <w:p>
      <w:pPr>
        <w:spacing w:line="590" w:lineRule="exact"/>
        <w:ind w:firstLine="663" w:firstLineChars="200"/>
        <w:jc w:val="both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eastAsia="zh-CN" w:bidi="ar-SA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CN" w:bidi="ar-SA"/>
        </w:rPr>
        <w:t>九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eastAsia="zh-CN" w:bidi="ar-SA"/>
        </w:rPr>
        <w:t>）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Hans" w:bidi="ar-SA"/>
        </w:rPr>
        <w:t>项目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CN" w:bidi="ar-SA"/>
        </w:rPr>
        <w:t>运营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Hans" w:bidi="ar-SA"/>
        </w:rPr>
        <w:t>成本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eastAsia="zh-Hans" w:bidi="ar-SA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本项目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运营成本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主要包括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燃料动力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成本、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工资及福利费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、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维护费用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以及利息支出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，运营期共计为52736.3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万元。</w:t>
      </w:r>
    </w:p>
    <w:p>
      <w:pPr>
        <w:spacing w:line="590" w:lineRule="exact"/>
        <w:ind w:firstLine="663" w:firstLineChars="200"/>
        <w:jc w:val="both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Hans" w:bidi="ar-SA"/>
        </w:rPr>
        <w:t>十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CN" w:bidi="ar-SA"/>
        </w:rPr>
        <w:t>）清偿能力分析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3"/>
          <w:szCs w:val="32"/>
          <w:highlight w:val="none"/>
          <w:u w:val="none" w:color="000000"/>
          <w:lang w:val="en-US" w:eastAsia="zh-Hans" w:bidi="ar-SA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运营期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预计将实现营业收入137863.92万元，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税金及附加414.89万元，运营成本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52736.3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Hans"/>
        </w:rPr>
        <w:t>万元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CN"/>
        </w:rPr>
        <w:t>，利润总额84712.64万元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项目投资利润率（税前）4.54%，投资利润率（税后）3.95%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全部投资内部收益率（税前）6.08%，全部投资内部收益率（税后）4.89%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静态投资回收期（税前）15.32年，静态投资回收期（税后）17.13年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动态投资回收期（税前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22.46年，动态投资回收期（税后）24.65年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Hans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项目收入基本能满足还款要求。</w:t>
      </w:r>
    </w:p>
    <w:p>
      <w:pPr>
        <w:pStyle w:val="4"/>
        <w:keepNext w:val="0"/>
        <w:keepLines w:val="0"/>
        <w:spacing w:before="0" w:after="0" w:line="590" w:lineRule="exact"/>
        <w:ind w:firstLine="620" w:firstLineChars="188"/>
        <w:jc w:val="both"/>
        <w:rPr>
          <w:rFonts w:ascii="Times New Roman" w:hAnsi="Times New Roman" w:eastAsia="方正黑体_GBK"/>
          <w:b w:val="0"/>
          <w:sz w:val="33"/>
          <w:szCs w:val="33"/>
        </w:rPr>
      </w:pPr>
      <w:bookmarkStart w:id="1" w:name="_Toc12519"/>
      <w:r>
        <w:rPr>
          <w:rFonts w:hint="default" w:ascii="Times New Roman" w:hAnsi="Times New Roman" w:eastAsia="方正黑体_GBK"/>
          <w:b w:val="0"/>
          <w:sz w:val="33"/>
          <w:szCs w:val="33"/>
          <w:lang w:val="en-US" w:eastAsia="zh-CN"/>
        </w:rPr>
        <w:t>五</w:t>
      </w:r>
      <w:r>
        <w:rPr>
          <w:rFonts w:ascii="Times New Roman" w:hAnsi="Times New Roman" w:eastAsia="方正黑体_GBK"/>
          <w:b w:val="0"/>
          <w:sz w:val="33"/>
          <w:szCs w:val="33"/>
        </w:rPr>
        <w:t>、项目投资构成</w:t>
      </w:r>
      <w:bookmarkEnd w:id="1"/>
    </w:p>
    <w:p>
      <w:pPr>
        <w:spacing w:line="590" w:lineRule="exact"/>
        <w:ind w:firstLine="620" w:firstLineChars="188"/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/>
          <w:sz w:val="33"/>
          <w:szCs w:val="33"/>
        </w:rPr>
        <w:t>项目总投资为68581.38万元</w:t>
      </w:r>
      <w:r>
        <w:rPr>
          <w:rFonts w:ascii="Times New Roman" w:hAnsi="Times New Roman" w:eastAsia="方正仿宋_GBK"/>
          <w:sz w:val="33"/>
          <w:szCs w:val="33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</w:rPr>
        <w:t xml:space="preserve">               </w:t>
      </w:r>
      <w:bookmarkStart w:id="2" w:name="_Toc11252"/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b/>
          <w:bCs/>
        </w:rPr>
        <w:t xml:space="preserve">表项目建设投资估算汇总表        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</w:rPr>
        <w:t xml:space="preserve">     单位：万元</w:t>
      </w:r>
    </w:p>
    <w:tbl>
      <w:tblPr>
        <w:tblStyle w:val="7"/>
        <w:tblW w:w="4861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16"/>
        <w:gridCol w:w="1392"/>
        <w:gridCol w:w="1406"/>
        <w:gridCol w:w="1416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设备购置及安装费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停车场建设工程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地面停车管理设备设施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3410.745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3410.745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3410.75 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45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特许经营权购买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武胜县路边15307个停车泊位25年特许经营权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参考发改价格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〔2015〕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 号文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参考国家发改办、 建设部发改价格[2007]670 号文计取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参考财建〔2016〕504号计取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参考发改价格〔2015〕299号，国家计委、国家建设部计价格〔2002〕10号文计取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资产评估服务费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参考《四川省资产评估项目收费与项目成本》及市场行情，预计20万元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项目前期工作咨询费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参考国家计委、建设部价格〔1999〕1283号，发改价格[2015]299号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参考国家计委计价格[2002]1980号计取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参考四川省物价局、建设厅川价发〔2008〕141号计取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按工程费用 0.5%计取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45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25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第一部分与第二部分费用之和减去特许经营权购置费的5%计算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涨价预备费</w:t>
            </w:r>
          </w:p>
        </w:tc>
        <w:tc>
          <w:tcPr>
            <w:tcW w:w="256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静态投资合计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64306.38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建设期利息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建设投资合计</w:t>
            </w:r>
          </w:p>
        </w:tc>
        <w:tc>
          <w:tcPr>
            <w:tcW w:w="2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68581.38 </w:t>
            </w:r>
          </w:p>
        </w:tc>
      </w:tr>
    </w:tbl>
    <w:p>
      <w:pPr>
        <w:numPr>
          <w:ilvl w:val="0"/>
          <w:numId w:val="0"/>
        </w:numPr>
        <w:spacing w:line="590" w:lineRule="exact"/>
        <w:ind w:firstLine="663" w:firstLineChars="200"/>
        <w:rPr>
          <w:rFonts w:hint="default" w:ascii="Times New Roman" w:hAnsi="Times New Roman" w:eastAsia="方正楷体_GBK" w:cs="Times New Roman"/>
          <w:b/>
          <w:bCs/>
          <w:sz w:val="33"/>
          <w:szCs w:val="33"/>
          <w:highlight w:val="none"/>
          <w:lang w:eastAsia="zh-CN"/>
        </w:rPr>
      </w:pPr>
    </w:p>
    <w:p>
      <w:pPr>
        <w:numPr>
          <w:ilvl w:val="0"/>
          <w:numId w:val="0"/>
        </w:num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highlight w:val="none"/>
          <w:lang w:val="en-US" w:eastAsia="zh-CN"/>
        </w:rPr>
        <w:t>其中：</w:t>
      </w:r>
    </w:p>
    <w:p>
      <w:pPr>
        <w:numPr>
          <w:ilvl w:val="0"/>
          <w:numId w:val="0"/>
        </w:numPr>
        <w:spacing w:line="590" w:lineRule="exact"/>
        <w:ind w:firstLine="663" w:firstLineChars="200"/>
        <w:rPr>
          <w:rFonts w:ascii="Times New Roman" w:hAnsi="Times New Roma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highlight w:val="none"/>
        </w:rPr>
        <w:t>工程建设费用21018.83万元，占总投资的30.65%。</w:t>
      </w:r>
    </w:p>
    <w:p>
      <w:pPr>
        <w:jc w:val="center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b/>
          <w:bCs/>
        </w:rPr>
        <w:t xml:space="preserve">                        </w:t>
      </w:r>
      <w:bookmarkEnd w:id="2"/>
      <w:r>
        <w:rPr>
          <w:rFonts w:ascii="Times New Roman" w:hAnsi="Times New Roman" w:eastAsia="仿宋_GB2312" w:cs="Times New Roman"/>
          <w:b/>
          <w:bCs/>
        </w:rPr>
        <w:t>工程建设投资估算明细表      单位：万元</w:t>
      </w:r>
    </w:p>
    <w:tbl>
      <w:tblPr>
        <w:tblStyle w:val="7"/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374"/>
        <w:gridCol w:w="784"/>
        <w:gridCol w:w="1051"/>
        <w:gridCol w:w="586"/>
        <w:gridCol w:w="769"/>
        <w:gridCol w:w="409"/>
        <w:gridCol w:w="769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4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估算金额（万元）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设备购置及安装费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工程费用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3410.75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21018.83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停车场建设工程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17608.09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13440.07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13440.07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1440.01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1440.01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1488.01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1488.01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给排水（含消防）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其他配套设施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场平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48000.24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道路及硬质铺装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12000.06 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停车位划线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地面停车管理设备设施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3410.745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3410.75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路侧停车位管理设备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2050.745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2050.75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车位检测器（NB地磁）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535.745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535.75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智能手持终端（PDA）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球形监控机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L型立杆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LED补光灯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云服务器租赁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指示设备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二级指示屏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三级指示频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停车位划线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公示牌、标志标牌制作安装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>
      <w:pPr>
        <w:spacing w:line="590" w:lineRule="exact"/>
        <w:ind w:firstLine="663" w:firstLineChars="200"/>
        <w:rPr>
          <w:rFonts w:ascii="Times New Roman" w:hAnsi="Times New Roma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工程建设其他费用42177.72万元，占总投资的61.50%。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 xml:space="preserve">                   工程建设其他费用估算表           </w:t>
      </w:r>
      <w:r>
        <w:rPr>
          <w:rFonts w:ascii="Times New Roman" w:hAnsi="Times New Roman" w:eastAsia="仿宋_GB2312" w:cs="Times New Roman"/>
          <w:b/>
          <w:bCs/>
          <w:lang w:eastAsia="zh-Hans"/>
        </w:rPr>
        <w:t>单位：万元</w:t>
      </w:r>
    </w:p>
    <w:tbl>
      <w:tblPr>
        <w:tblStyle w:val="7"/>
        <w:tblW w:w="4881" w:type="pc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190"/>
        <w:gridCol w:w="4359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4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特许经营权购买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武胜县路边15307个停车泊位25年特许经营权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参考发改价格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〔2015〕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299号文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参考国家发改办、建设部发改价格[2007]670号文计取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参考财建〔2016〕504号计取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参考发改价格〔2015〕299号，国家计委、国家建设部计价格〔2002〕10号文计取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资产评估服务费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参考《四川省资产评估项目收费与项目成本》及市场行情，预计20万元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项目前期工作咨询费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参考国家计委、建设部价格〔1999〕1283号，发改价格[2015]299号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参考国家计委计价格[2002]1980号计取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参考四川省物价局、建设厅川价发〔2008〕141号计取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按工程费用 0.5%计取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42177.72 </w:t>
            </w:r>
          </w:p>
        </w:tc>
      </w:tr>
    </w:tbl>
    <w:p>
      <w:pPr>
        <w:spacing w:line="590" w:lineRule="exact"/>
        <w:ind w:firstLine="623" w:firstLineChars="188"/>
        <w:rPr>
          <w:rFonts w:ascii="Times New Roman" w:hAnsi="Times New Roman" w:eastAsia="方正仿宋_GBK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三）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预备费1109.83万元，占总投资的1.62%。</w:t>
      </w:r>
    </w:p>
    <w:p>
      <w:pPr>
        <w:spacing w:line="590" w:lineRule="exact"/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default" w:ascii="Times New Roman" w:hAnsi="Times New Roman" w:eastAsia="方正仿宋_GBK"/>
          <w:sz w:val="33"/>
          <w:szCs w:val="33"/>
        </w:rPr>
        <w:t>基本预备费根据《建设部关于印发市政工程投资估算编制办法》的通知（建标〔2007〕164号）号文件规定，按照工程建设费和工程建设其他费用总和（减去特许经营权购买费用）的5%估算，共计1109.83万元</w:t>
      </w:r>
      <w:r>
        <w:rPr>
          <w:rFonts w:ascii="Times New Roman" w:hAnsi="Times New Roman" w:eastAsia="方正仿宋_GBK"/>
          <w:sz w:val="33"/>
          <w:szCs w:val="33"/>
        </w:rPr>
        <w:t>。</w:t>
      </w:r>
    </w:p>
    <w:p>
      <w:pPr>
        <w:spacing w:line="590" w:lineRule="exact"/>
        <w:ind w:firstLine="663" w:firstLineChars="200"/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建设期利息4275.00万元。占总投资的6.23%。</w:t>
      </w:r>
    </w:p>
    <w:p>
      <w:pPr>
        <w:spacing w:line="590" w:lineRule="exact"/>
        <w:ind w:firstLine="660" w:firstLineChars="200"/>
      </w:pPr>
      <w:r>
        <w:rPr>
          <w:rFonts w:hint="default" w:ascii="Times New Roman" w:hAnsi="Times New Roman" w:eastAsia="方正仿宋_GBK"/>
          <w:sz w:val="33"/>
          <w:szCs w:val="33"/>
        </w:rPr>
        <w:t>根据《建设项目经济评价方法与参数（第三版）》，建设期利息的计算是按贷款是否当年投放分别计算利息的。利率按（2022年9月中国人民银行公布的5年期以上LPR4.30%增加70个基点）5.00%估算。本项目根据工程进度，计划第一年到位资金20000.00万元，建设期利息估算按当年投入的贷款金额的1/2计息为20000.00万元×5.00%/2=500.00万元。第二年到位资金20000.00万元，建设期利息估算为（20000万元+20000万元/2）×5</w:t>
      </w:r>
      <w:r>
        <w:rPr>
          <w:rFonts w:hint="default" w:ascii="Times New Roman" w:hAnsi="Times New Roman" w:eastAsia="方正仿宋_GBK"/>
          <w:sz w:val="33"/>
          <w:szCs w:val="33"/>
          <w:lang w:val="en-US" w:eastAsia="zh-Hans"/>
        </w:rPr>
        <w:t>.</w:t>
      </w:r>
      <w:r>
        <w:rPr>
          <w:rFonts w:hint="default" w:ascii="Times New Roman" w:hAnsi="Times New Roman" w:eastAsia="方正仿宋_GBK"/>
          <w:sz w:val="33"/>
          <w:szCs w:val="33"/>
          <w:lang w:eastAsia="zh-Hans"/>
        </w:rPr>
        <w:t>00</w:t>
      </w:r>
      <w:r>
        <w:rPr>
          <w:rFonts w:hint="default" w:ascii="Times New Roman" w:hAnsi="Times New Roman" w:eastAsia="方正仿宋_GBK"/>
          <w:sz w:val="33"/>
          <w:szCs w:val="33"/>
        </w:rPr>
        <w:t>%=1500.00万元。第三年到位资金11000.00万元，建设期利息估算为（40000万元+11000万元/2）×5.00%=2275.00万元。合计建设期利息为4275.00万元</w:t>
      </w:r>
      <w:r>
        <w:rPr>
          <w:rFonts w:hint="default" w:ascii="Times New Roman" w:hAnsi="Times New Roman" w:eastAsia="方正仿宋_GBK"/>
          <w:sz w:val="33"/>
          <w:szCs w:val="33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60"/>
        <w:rPr>
          <w:rFonts w:ascii="Times New Roman" w:hAnsi="Times New Roman" w:eastAsia="方正黑体_GBK"/>
          <w:snapToGrid w:val="0"/>
          <w:kern w:val="0"/>
          <w:sz w:val="33"/>
          <w:szCs w:val="33"/>
        </w:rPr>
      </w:pPr>
      <w:r>
        <w:rPr>
          <w:rFonts w:hint="default" w:ascii="Times New Roman" w:hAnsi="Times New Roman" w:eastAsia="方正黑体_GBK"/>
          <w:snapToGrid w:val="0"/>
          <w:kern w:val="0"/>
          <w:sz w:val="33"/>
          <w:szCs w:val="33"/>
          <w:lang w:val="en-US" w:eastAsia="zh-CN"/>
        </w:rPr>
        <w:t>六</w:t>
      </w:r>
      <w:r>
        <w:rPr>
          <w:rFonts w:hint="default" w:ascii="Times New Roman" w:hAnsi="Times New Roman" w:eastAsia="方正黑体_GBK"/>
          <w:snapToGrid w:val="0"/>
          <w:kern w:val="0"/>
          <w:sz w:val="33"/>
          <w:szCs w:val="33"/>
        </w:rPr>
        <w:t>、工作要求</w:t>
      </w:r>
    </w:p>
    <w:p>
      <w:pPr>
        <w:spacing w:line="590" w:lineRule="exact"/>
        <w:ind w:firstLine="663" w:firstLineChars="200"/>
        <w:rPr>
          <w:rFonts w:hint="default" w:ascii="Times New Roman" w:hAnsi="Times New Roman" w:eastAsia="方正仿宋_GBK"/>
          <w:snapToGrid w:val="0"/>
          <w:kern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方正仿宋_GBK"/>
          <w:bCs/>
          <w:sz w:val="33"/>
          <w:szCs w:val="30"/>
        </w:rPr>
        <w:t>成立项目建设工作</w:t>
      </w:r>
      <w:r>
        <w:rPr>
          <w:rFonts w:hint="default" w:ascii="Times New Roman" w:hAnsi="Times New Roman" w:eastAsia="方正仿宋_GBK"/>
          <w:bCs/>
          <w:sz w:val="33"/>
          <w:szCs w:val="30"/>
          <w:lang w:eastAsia="zh-CN"/>
        </w:rPr>
        <w:t>专</w:t>
      </w:r>
      <w:r>
        <w:rPr>
          <w:rFonts w:hint="default" w:ascii="Times New Roman" w:hAnsi="Times New Roman" w:eastAsia="方正仿宋_GBK"/>
          <w:bCs/>
          <w:sz w:val="33"/>
          <w:szCs w:val="30"/>
        </w:rPr>
        <w:t>组，</w:t>
      </w:r>
      <w:r>
        <w:rPr>
          <w:rFonts w:hint="default" w:ascii="Times New Roman" w:hAnsi="Times New Roman" w:eastAsia="方正仿宋_GBK"/>
          <w:bCs/>
          <w:sz w:val="33"/>
          <w:szCs w:val="30"/>
          <w:lang w:val="en-US" w:eastAsia="zh-CN"/>
        </w:rPr>
        <w:t>具体</w:t>
      </w:r>
      <w:r>
        <w:rPr>
          <w:rFonts w:hint="default" w:ascii="Times New Roman" w:hAnsi="Times New Roman" w:eastAsia="方正仿宋_GBK"/>
          <w:bCs/>
          <w:sz w:val="33"/>
          <w:szCs w:val="30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3"/>
          <w:szCs w:val="33"/>
          <w:shd w:val="clear" w:color="auto" w:fill="FFFFFF"/>
        </w:rPr>
        <w:t>统筹协调、部署落实、技术指导、要素保障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3"/>
          <w:szCs w:val="33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3"/>
          <w:szCs w:val="33"/>
          <w:shd w:val="clear" w:color="auto" w:fill="FFFFFF"/>
        </w:rPr>
        <w:t>。建立定期协调工作机制，研究解决项目推进过程中存在的具体问题，确保项目顺利实施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</w:rPr>
        <w:t>。</w:t>
      </w:r>
    </w:p>
    <w:p>
      <w:pPr>
        <w:spacing w:line="590" w:lineRule="exact"/>
        <w:ind w:firstLine="636" w:firstLineChars="200"/>
        <w:jc w:val="both"/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</w:rPr>
        <w:t>组  长：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  <w:t xml:space="preserve">李  军  </w:t>
      </w:r>
    </w:p>
    <w:p>
      <w:pPr>
        <w:spacing w:line="590" w:lineRule="exact"/>
        <w:ind w:firstLine="636" w:firstLineChars="200"/>
        <w:jc w:val="both"/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</w:rPr>
        <w:t>副组长：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eastAsia="zh-CN"/>
        </w:rPr>
        <w:t>胡立志、覃小林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  <w:t>、文  勇</w:t>
      </w:r>
    </w:p>
    <w:p>
      <w:pPr>
        <w:spacing w:line="590" w:lineRule="exact"/>
        <w:ind w:firstLine="636" w:firstLineChars="200"/>
        <w:jc w:val="both"/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</w:rPr>
        <w:t>成  员：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  <w:t>陈泊任、杜佳秋、陈泫孜、谭和平、李艳萍、</w:t>
      </w:r>
    </w:p>
    <w:p>
      <w:pPr>
        <w:spacing w:line="590" w:lineRule="exact"/>
        <w:ind w:firstLine="1908" w:firstLineChars="600"/>
        <w:jc w:val="both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highlight w:val="none"/>
          <w:lang w:val="en-US" w:eastAsia="zh-CN"/>
        </w:rPr>
        <w:t>张  睿</w:t>
      </w:r>
    </w:p>
    <w:p>
      <w:pPr>
        <w:spacing w:line="590" w:lineRule="exact"/>
        <w:ind w:firstLine="636" w:firstLineChars="200"/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</w:rPr>
        <w:t>工作专班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en-US" w:eastAsia="zh-CN"/>
        </w:rPr>
        <w:t>银财公司</w:t>
      </w: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</w:rPr>
        <w:t>下设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eastAsia="zh-CN"/>
        </w:rPr>
        <w:t>办公室</w:t>
      </w: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</w:rPr>
        <w:t>，由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en-US" w:eastAsia="zh-CN"/>
        </w:rPr>
        <w:t>文勇</w:t>
      </w: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</w:rPr>
        <w:t>兼任办公室主任，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en-US" w:eastAsia="zh-CN"/>
        </w:rPr>
        <w:t>陈泫孜</w:t>
      </w:r>
      <w:r>
        <w:rPr>
          <w:rFonts w:ascii="Times New Roman" w:hAnsi="Times New Roman" w:eastAsia="方正仿宋_GBK" w:cs="Times New Roman"/>
          <w:color w:val="000000"/>
          <w:spacing w:val="-6"/>
          <w:sz w:val="33"/>
          <w:szCs w:val="33"/>
        </w:rPr>
        <w:t>任副主任，负责日常工作。</w:t>
      </w:r>
    </w:p>
    <w:p>
      <w:pPr>
        <w:adjustRightInd w:val="0"/>
        <w:snapToGrid w:val="0"/>
        <w:spacing w:line="590" w:lineRule="exact"/>
        <w:ind w:firstLine="663" w:firstLineChars="200"/>
        <w:rPr>
          <w:rFonts w:ascii="Times New Roman" w:hAnsi="Times New Roman" w:eastAsia="方正仿宋_GBK"/>
          <w:bCs/>
          <w:sz w:val="33"/>
          <w:szCs w:val="30"/>
        </w:rPr>
      </w:pP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（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  <w:lang w:val="en-US" w:eastAsia="zh-CN"/>
        </w:rPr>
        <w:t>二</w:t>
      </w:r>
      <w:r>
        <w:rPr>
          <w:rFonts w:ascii="Times New Roman" w:hAnsi="Times New Roman" w:eastAsia="方正楷体_GBK"/>
          <w:b/>
          <w:snapToGrid w:val="0"/>
          <w:kern w:val="0"/>
          <w:sz w:val="33"/>
          <w:szCs w:val="33"/>
        </w:rPr>
        <w:t>）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加</w:t>
      </w:r>
      <w:r>
        <w:rPr>
          <w:rFonts w:ascii="Times New Roman" w:hAnsi="Times New Roman" w:eastAsia="方正楷体_GBK"/>
          <w:b/>
          <w:snapToGrid w:val="0"/>
          <w:kern w:val="0"/>
          <w:sz w:val="33"/>
          <w:szCs w:val="33"/>
        </w:rPr>
        <w:t>强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工程监管</w:t>
      </w:r>
      <w:r>
        <w:rPr>
          <w:rFonts w:ascii="Times New Roman" w:hAnsi="Times New Roman" w:eastAsia="方正楷体_GBK"/>
          <w:b/>
          <w:snapToGrid w:val="0"/>
          <w:kern w:val="0"/>
          <w:sz w:val="33"/>
          <w:szCs w:val="33"/>
        </w:rPr>
        <w:t>。</w:t>
      </w:r>
      <w:r>
        <w:rPr>
          <w:rFonts w:hint="default" w:ascii="Times New Roman" w:hAnsi="Times New Roman" w:eastAsia="方正仿宋_GBK"/>
          <w:bCs/>
          <w:sz w:val="33"/>
          <w:szCs w:val="30"/>
          <w:lang w:val="en-US" w:eastAsia="zh-CN"/>
        </w:rPr>
        <w:t>严格按照</w:t>
      </w:r>
      <w:r>
        <w:rPr>
          <w:rFonts w:hint="default" w:ascii="Times New Roman" w:hAnsi="Times New Roman" w:eastAsia="方正仿宋_GBK"/>
          <w:bCs/>
          <w:sz w:val="33"/>
          <w:szCs w:val="30"/>
        </w:rPr>
        <w:t>设计要求，按时按质完成智慧停车位建设。</w:t>
      </w:r>
      <w:r>
        <w:rPr>
          <w:rFonts w:hint="default" w:ascii="Times New Roman" w:hAnsi="Times New Roman" w:eastAsia="方正仿宋_GBK"/>
          <w:bCs/>
          <w:sz w:val="33"/>
          <w:szCs w:val="30"/>
          <w:lang w:val="en-US" w:eastAsia="zh-CN"/>
        </w:rPr>
        <w:t>落实</w:t>
      </w:r>
      <w:r>
        <w:rPr>
          <w:rFonts w:hint="default" w:ascii="Times New Roman" w:hAnsi="Times New Roman" w:eastAsia="方正仿宋_GBK"/>
          <w:bCs/>
          <w:sz w:val="33"/>
          <w:szCs w:val="30"/>
        </w:rPr>
        <w:t>专人对项目建设过程进行监督管理，严把质量、进度和安全关，邀请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  <w:lang w:val="en-US" w:eastAsia="zh-CN"/>
        </w:rPr>
        <w:t>县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</w:rPr>
        <w:t>财政局、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  <w:lang w:val="en-US" w:eastAsia="zh-CN"/>
        </w:rPr>
        <w:t>综合执法局、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</w:rPr>
        <w:t>审计局等职能单位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  <w:lang w:eastAsia="zh-CN"/>
        </w:rPr>
        <w:t>和集团公司职能部门</w:t>
      </w:r>
      <w:r>
        <w:rPr>
          <w:rFonts w:hint="default" w:ascii="Times New Roman" w:hAnsi="Times New Roman" w:eastAsia="方正仿宋_GBK"/>
          <w:snapToGrid w:val="0"/>
          <w:kern w:val="0"/>
          <w:sz w:val="33"/>
          <w:szCs w:val="33"/>
        </w:rPr>
        <w:t>参与项目建设过程监督，确保项目建设安全规范。</w:t>
      </w:r>
    </w:p>
    <w:p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（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  <w:lang w:val="en-US" w:eastAsia="zh-CN"/>
        </w:rPr>
        <w:t>三</w:t>
      </w:r>
      <w:r>
        <w:rPr>
          <w:rFonts w:ascii="Times New Roman" w:hAnsi="Times New Roman" w:eastAsia="方正楷体_GBK"/>
          <w:b/>
          <w:snapToGrid w:val="0"/>
          <w:kern w:val="0"/>
          <w:sz w:val="33"/>
          <w:szCs w:val="33"/>
        </w:rPr>
        <w:t>）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强化</w:t>
      </w:r>
      <w:r>
        <w:rPr>
          <w:rFonts w:ascii="Times New Roman" w:hAnsi="Times New Roman" w:eastAsia="方正楷体_GBK"/>
          <w:b/>
          <w:snapToGrid w:val="0"/>
          <w:kern w:val="0"/>
          <w:sz w:val="33"/>
          <w:szCs w:val="33"/>
        </w:rPr>
        <w:t>监督问</w:t>
      </w:r>
      <w:r>
        <w:rPr>
          <w:rFonts w:hint="default" w:ascii="Times New Roman" w:hAnsi="Times New Roman" w:eastAsia="方正楷体_GBK"/>
          <w:b/>
          <w:snapToGrid w:val="0"/>
          <w:kern w:val="0"/>
          <w:sz w:val="33"/>
          <w:szCs w:val="33"/>
        </w:rPr>
        <w:t>责。</w:t>
      </w:r>
      <w:r>
        <w:rPr>
          <w:rFonts w:ascii="Times New Roman" w:hAnsi="Times New Roman" w:eastAsia="方正仿宋_GBK"/>
          <w:sz w:val="33"/>
          <w:szCs w:val="33"/>
        </w:rPr>
        <w:t>加大督查问</w:t>
      </w:r>
      <w:r>
        <w:rPr>
          <w:rFonts w:hint="default" w:ascii="Times New Roman" w:hAnsi="Times New Roman" w:eastAsia="方正仿宋_GBK"/>
          <w:sz w:val="33"/>
          <w:szCs w:val="33"/>
        </w:rPr>
        <w:t>责力度</w:t>
      </w:r>
      <w:r>
        <w:rPr>
          <w:rFonts w:ascii="Times New Roman" w:hAnsi="Times New Roman" w:eastAsia="方正仿宋_GBK"/>
          <w:sz w:val="33"/>
          <w:szCs w:val="33"/>
        </w:rPr>
        <w:t>，</w:t>
      </w:r>
      <w:r>
        <w:rPr>
          <w:rFonts w:hint="default" w:ascii="Times New Roman" w:hAnsi="Times New Roman" w:eastAsia="方正仿宋_GBK"/>
          <w:sz w:val="33"/>
          <w:szCs w:val="33"/>
        </w:rPr>
        <w:t>定期汇总报告工作进度，</w:t>
      </w:r>
      <w:r>
        <w:rPr>
          <w:rFonts w:ascii="Times New Roman" w:hAnsi="Times New Roman" w:eastAsia="方正仿宋_GBK"/>
          <w:sz w:val="33"/>
          <w:szCs w:val="33"/>
        </w:rPr>
        <w:t>逗硬考核</w:t>
      </w:r>
      <w:r>
        <w:rPr>
          <w:rFonts w:hint="default" w:ascii="Times New Roman" w:hAnsi="Times New Roman" w:eastAsia="方正仿宋_GBK"/>
          <w:sz w:val="33"/>
          <w:szCs w:val="33"/>
        </w:rPr>
        <w:t>奖惩</w:t>
      </w:r>
      <w:r>
        <w:rPr>
          <w:rFonts w:ascii="Times New Roman" w:hAnsi="Times New Roman" w:eastAsia="方正仿宋_GBK"/>
          <w:sz w:val="33"/>
          <w:szCs w:val="33"/>
        </w:rPr>
        <w:t>，</w:t>
      </w:r>
      <w:r>
        <w:rPr>
          <w:rFonts w:hint="default" w:ascii="Times New Roman" w:hAnsi="Times New Roman" w:eastAsia="方正仿宋_GBK"/>
          <w:sz w:val="33"/>
          <w:szCs w:val="33"/>
        </w:rPr>
        <w:t>做到有的放矢，确保重</w:t>
      </w:r>
      <w:r>
        <w:rPr>
          <w:rFonts w:ascii="Times New Roman" w:hAnsi="Times New Roman" w:eastAsia="方正仿宋_GBK"/>
          <w:sz w:val="33"/>
          <w:szCs w:val="33"/>
        </w:rPr>
        <w:t>点工作推进取得成</w:t>
      </w:r>
      <w:r>
        <w:rPr>
          <w:rFonts w:hint="default" w:ascii="Times New Roman" w:hAnsi="Times New Roman" w:eastAsia="方正仿宋_GBK"/>
          <w:sz w:val="33"/>
          <w:szCs w:val="33"/>
        </w:rPr>
        <w:t>效</w:t>
      </w:r>
      <w:r>
        <w:rPr>
          <w:rFonts w:ascii="Times New Roman" w:hAnsi="Times New Roman" w:eastAsia="方正仿宋_GBK"/>
          <w:sz w:val="33"/>
          <w:szCs w:val="33"/>
        </w:rPr>
        <w:t>。</w:t>
      </w:r>
      <w:r>
        <w:rPr>
          <w:rFonts w:hint="default" w:ascii="Times New Roman" w:hAnsi="Times New Roman" w:eastAsia="方正仿宋_GBK"/>
          <w:bCs/>
          <w:sz w:val="33"/>
          <w:szCs w:val="30"/>
        </w:rPr>
        <w:t>对项目建设过程中存在不作为、行动缓慢，影响工作开展的，或因失职、渎职，造成严重影响或后果的，将依纪依规严肃追责问责。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DQ1NDA4Y2Y2OWZjNmQyYTlhMzQ1ZGVjNGQ4MDEifQ=="/>
  </w:docVars>
  <w:rsids>
    <w:rsidRoot w:val="00000000"/>
    <w:rsid w:val="413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2023-05-17T03:13:46Z</dcterms:created>
  <dc:creator>zr</dc:creator>
  <cp:lastModifiedBy>zr</cp:lastModifiedBy>
  <cp:lastPrinted>2023-05-17T03:14:47Z</cp:lastPrinted>
  <dcterms:modified xsi:type="dcterms:W3CDTF">2023-05-17T03:14:51Z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7B71851C06984CC19FA019A10679E75C_12</vt:lpwstr>
  </property>
</Properties>
</file>