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Toc6313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武胜县飞龙农旅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融合片区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黑体_GBK" w:hAnsi="方正黑体_GBK" w:eastAsia="方正黑体_GBK"/>
          <w:sz w:val="33"/>
          <w:szCs w:val="2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公共文化设施专项规划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right="1" w:firstLine="0" w:firstLineChars="0"/>
        <w:jc w:val="center"/>
        <w:textAlignment w:val="auto"/>
        <w:rPr>
          <w:rFonts w:hint="eastAsia" w:ascii="方正黑体_GBK" w:hAnsi="方正黑体_GBK" w:eastAsia="方正黑体_GBK"/>
          <w:sz w:val="33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eastAsia="zh-CN"/>
        </w:rPr>
        <w:t>第一章</w:t>
      </w: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第一节  规划背景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为深入贯彻习近平总书记关于国土空间规划的系列批示指示精神，全面落实省委省政府、市委市政府、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委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政府关于做好两项改革“后半篇”文章相关工作的决策部署，推动与乡镇级片区国土空间规划有效融合衔接，进一步提高片区规划整体性和协同性，确保两项改革“后半篇”文章工作举措落实落地，为乡村振兴和县域经济高质量发展打下坚实基础，实施乡镇级片区专项规划。根据《四川省乡镇级片区公共文化设施专项规划导则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《武胜县以片区为单元编制乡村国土空间规划工作方案》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等文件要求，立足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飞龙</w:t>
      </w: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农旅融合片区实际，从强化均衡发展、提升设施空间品质、打造特色品牌等方面固强补弱，全面提升公共文化设施建设、管理和服务水平，制定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飞龙</w:t>
      </w: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农旅融合片区公共文化设施专项规划。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第二节  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以习近平新时代中国特色社会主义思想为指导，全面贯彻党的二十大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精神，立足新发展阶段、贯彻新发展理念、融入新发展格局，坚持稳中求进工作总基调，以片区为单元，引领资源要素集约节约配置，重塑乡村经济地理格局，坚持以人民为中心，顺应人民群众对美好生活的新期待，以“十里文化圈”为服务半径，统筹公共文化设施，推动公共文化服务向高品质和多样化升级，切实保障文化民生，为全面建设社会主义现代化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武胜</w:t>
      </w: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夯实底部基础。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第三节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ab/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>本规划范围为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飞龙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>农旅融合片区，覆盖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飞龙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鸣钟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三溪、猛山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 xml:space="preserve"> 个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>镇、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44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 xml:space="preserve"> 个村（社区）、常住人口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8.04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 w:eastAsia="zh-CN"/>
        </w:rPr>
        <w:t>万，幅员面积约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143.7平方公里。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876165" cy="3941445"/>
            <wp:effectExtent l="0" t="0" r="635" b="1905"/>
            <wp:docPr id="2" name="图片 2" descr="微信图片_202204240924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2409243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148"/>
        <w:ind w:left="0" w:leftChars="0" w:right="1" w:firstLine="0" w:firstLineChars="0"/>
        <w:jc w:val="center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kern w:val="2"/>
          <w:sz w:val="24"/>
          <w:szCs w:val="24"/>
          <w:lang w:val="en-US" w:eastAsia="zh-CN" w:bidi="ar-SA"/>
        </w:rPr>
        <w:t>飞龙农旅融合片区划分示意图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overflowPunct w:val="0"/>
        <w:topLinePunct w:val="0"/>
        <w:autoSpaceDE/>
        <w:autoSpaceDN/>
        <w:bidi w:val="0"/>
        <w:adjustRightInd/>
        <w:spacing w:before="24" w:line="590" w:lineRule="exact"/>
        <w:ind w:left="0" w:leftChars="0" w:right="2" w:firstLine="0" w:firstLineChars="0"/>
        <w:jc w:val="center"/>
        <w:textAlignment w:val="auto"/>
        <w:rPr>
          <w:rFonts w:hint="eastAsia" w:ascii="方正黑体_GBK" w:hAnsi="方正黑体_GBK" w:eastAsia="方正黑体_GBK"/>
          <w:w w:val="95"/>
          <w:sz w:val="33"/>
          <w:szCs w:val="24"/>
        </w:rPr>
      </w:pPr>
      <w:r>
        <w:rPr>
          <w:rFonts w:hint="eastAsia" w:ascii="方正黑体_GBK" w:hAnsi="方正黑体_GBK" w:eastAsia="方正黑体_GBK"/>
          <w:sz w:val="33"/>
          <w:szCs w:val="24"/>
        </w:rPr>
        <w:t>第二章</w:t>
      </w:r>
      <w:r>
        <w:rPr>
          <w:rFonts w:hint="eastAsia" w:ascii="方正黑体_GBK" w:hAnsi="方正黑体_GBK" w:eastAsia="方正黑体_GBK"/>
          <w:sz w:val="33"/>
          <w:szCs w:val="24"/>
          <w:lang w:val="en-US" w:eastAsia="zh-CN"/>
        </w:rPr>
        <w:t xml:space="preserve">  </w:t>
      </w:r>
      <w:r>
        <w:rPr>
          <w:rFonts w:hint="eastAsia" w:ascii="方正黑体_GBK" w:hAnsi="方正黑体_GBK" w:eastAsia="方正黑体_GBK"/>
          <w:w w:val="95"/>
          <w:sz w:val="33"/>
          <w:szCs w:val="24"/>
        </w:rPr>
        <w:t>片区现状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第一节  设施现状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文体广场4个、篮球场4个、新时代文明实践所4个、文化院坝15个、新时代文明实践站44个、农家书屋41个、乡镇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文化站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个、村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（社区）文化室35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个、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广播村村响44个、广播电视公共服务网点4个、村史馆6个、文化长廊1处、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文物保护单位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省级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个、市级1个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非物质文化遗产名录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项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市级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项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第二节  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（一）文化队伍不稳定。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片区专业文化人才紧缺，业务素质不高。缺乏文化领军人物，影响公共文化事业的发展。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rPr>
          <w:rFonts w:hint="eastAsia" w:ascii="方正黑体_GBK" w:hAnsi="方正黑体_GBK" w:eastAsia="方正黑体_GBK"/>
          <w:sz w:val="33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（二）活动形式单一。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活动开展总是老一套，宣传形式没有创新，不能更好的提高群众参与积极性。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overflowPunct w:val="0"/>
        <w:topLinePunct w:val="0"/>
        <w:autoSpaceDE/>
        <w:autoSpaceDN/>
        <w:bidi w:val="0"/>
        <w:adjustRightInd/>
        <w:spacing w:before="6" w:line="590" w:lineRule="exact"/>
        <w:ind w:left="0" w:leftChars="0" w:right="2" w:firstLine="0" w:firstLineChars="0"/>
        <w:jc w:val="center"/>
        <w:textAlignment w:val="auto"/>
        <w:rPr>
          <w:rFonts w:hint="eastAsia" w:ascii="方正黑体_GBK" w:hAnsi="方正黑体_GBK" w:eastAsia="方正黑体_GBK"/>
          <w:w w:val="95"/>
          <w:sz w:val="33"/>
          <w:szCs w:val="24"/>
        </w:rPr>
      </w:pPr>
      <w:r>
        <w:rPr>
          <w:rFonts w:hint="eastAsia" w:ascii="方正黑体_GBK" w:hAnsi="方正黑体_GBK" w:eastAsia="方正黑体_GBK"/>
          <w:sz w:val="33"/>
          <w:szCs w:val="24"/>
        </w:rPr>
        <w:t>第三章</w:t>
      </w:r>
      <w:r>
        <w:rPr>
          <w:rFonts w:hint="eastAsia" w:ascii="方正黑体_GBK" w:hAnsi="方正黑体_GBK" w:eastAsia="方正黑体_GBK"/>
          <w:sz w:val="33"/>
          <w:szCs w:val="24"/>
        </w:rPr>
        <w:tab/>
      </w:r>
      <w:r>
        <w:rPr>
          <w:rFonts w:hint="eastAsia" w:ascii="方正黑体_GBK" w:hAnsi="方正黑体_GBK" w:eastAsia="方正黑体_GBK"/>
          <w:w w:val="95"/>
          <w:sz w:val="33"/>
          <w:szCs w:val="24"/>
        </w:rPr>
        <w:t>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第一节  建设思路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突出示范引领和辐射带动作用，整合资源，按照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1+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+N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。建设运营模式，即1个文化综合体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（以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阅读空间、展演场地、文体场所等文化设施为主体等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、5个功能区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文体活动空间、阅读科普空间、文化艺术空间、传承体验空间、广电综合空间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N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种创新模式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管理运行模式、服务产品供给、文化人才引入、资源投入等方面自主创新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，加强文化与旅游、文化与经济、文化与体育等融合发展，丰富群众文化生活，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促进片区文化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软实力高质量发展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打造县域文化次中心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全面建成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数字化图书馆（文化馆）、应急广播系统、文明实践站（所）等一系列文化基础设施，县、镇、村（社区）三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级公共文化设施覆盖率实现100%。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第二节  分级分类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本次规划在飞龙农旅融合片区范围内分级分类布置文化设施，形成“四级五类”的规划体系。“四级”：按省市区相关文件要求形成中心镇、其他镇、中心村、其他村（社区） 四个级别；“五类”：即文体活动类、阅读科普类、文化艺术类、传承体验类和广电综合类五个类别。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飞龙农旅融合片区分级一览表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中心镇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飞龙镇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其他镇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三溪镇、鸣钟镇、猛山乡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中心村（社区）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观音桥村、三溪村、一号桥村、万民村、二郎村、莲花坪村、水磨滩村、长安村、大石桥村、独巍山村、中华村、小寨村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其他村（社区）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沈家龙村、长深村、谷花村、明灯村、白坪村、高洞村、平安社区、五排水村等 33 个村（社区）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第三节  配置标准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根据设定的分级分类标准，合理确定不同等级公共文化设施配置标准（详见配置标准表），形成错位配置、相互补充的设施配套格局，构建起不同层级、不同类型的乡村文化生活圈。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专栏1  街道综合性文化服务中心配置标准表</w:t>
      </w:r>
    </w:p>
    <w:tbl>
      <w:tblPr>
        <w:tblStyle w:val="9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676"/>
        <w:gridCol w:w="870"/>
        <w:gridCol w:w="1230"/>
        <w:gridCol w:w="4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中心街道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其他街道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基本标准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文体活动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室外文化活动广场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面积累计不低于1000 平方米（自然条件受限制的地方累计不低于500 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多功能活动室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≥90平方米，配备适合开展音乐、舞蹈、美术、书法、棋牌等活动的文化体育器材。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县级文化馆分馆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≥1个，可结合室外墙面布置。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健身中心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≥2000平方米（含室内≥150 平方米），可由2处健身场地的面积相加构成。应配置在居民区、人口密集区附近，方便群众使用。可与室外文化活动广场相结合，可配置篮球、气排球、羽毛球、乒乓球、笼式足球、健身路径等场地设施，可重叠画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满足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种以上健身项目使用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；室内健身场地可与多功能活动室结合，可配置室内球类运动设施、棋牌类设施、健身器械等。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多功能运动场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≥1200 平方米（受自然条件限制的地方≥700平方米）。应配置在居民区、人口密集区附近，方便群众使用。可与室外文化活动广场相结合，可配置篮球、羽毛球、乒乓球、健身路径等场地设施，可重叠画线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满足3种以上健身项目使用。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（注：有条件的乡镇可将多功能运动场升级为乡镇健身中心）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体育公园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总面积不低于2万平方米。其中，健身设施用地占比不低于20%，绿化用地占比不低于65%，至少具有4块以上运动场地，可同时开展的体育项目不少于3项。鼓励将多功能运动场、乡镇健身中心“公园化”。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阅读科普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讲堂（辅导培训活动室）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≥30平方米，满足普及知识、专业讲座和宣传教育等多种用途的使用，配备教育培训设备，具备播放录像、计算机投影等条件。可与多功能活动室结合。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图书阅览室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≥30平方米，图书藏有量≥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000册，每年续订报刊≥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0种，更新图书≥200册；可供外借的基本藏书不低于总藏书量的2/3；有少年儿童类图书。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电子阅览室（文化信息资源共享工程活动室）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≥30平方米，配备满足不同群体多元需求的数字文化设备和数字文化信息资源。可与图书阅览室结合。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阅报栏（屏）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≥1个，至少提供2类报纸。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县级图书馆分馆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自助借阅点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设置在人流较为密集的区域，配置图书自助借还机，定期进行图书补充、更新、调整。可与社会力量共建。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小型特色书店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文化艺术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小型戏台（舞台）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≥40平方米（10 米×5 米×0.8 米），可与室外文化活动广场、多动能活动室结合。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固定电影放映点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有醒目标识牌和宣传栏（发布放映场次安排、预告宣传、预约放映，监督检查、放映人员联系方式等内容）；场地面积不小于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00平方米，可放置1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把活动座椅；放映场所应保证建筑物安全，有足够的疏散通道和出入口标志；配备专业的放映设备。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小型剧场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满足戏剧表演、舞台表演、民俗活动、休憩等多种功能。可与社会力量共建。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传承体验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乡史博物馆（陈列室）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展览面积不低于100平方米，展品（藏品）不低于100件。充分利用已收集或易于收集的本地历史见证物、文献文书、生产生活物品、农业手工业产品、习俗和节庆资料，围绕村史沿革、村规民约、民俗风情、乡贤名人、家风家训、发展成就等，举办主题鲜明、各具特色、内涵丰富的陈列展览。馆舍大小、规模以满足展品安全和展陈需要为宜；展馆及相应设施应安装防雷、防火、防盗等技防设施，制定各类防灾预案，并设置防灾指示标志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小型非遗馆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可与乡史博物馆结合。可与社会力量共建。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广电综合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机房及业务用房面积≥80平方米，提供广播节目和突发事件应急广播服务，按国家标准配备具有应急广播消息接收、响应和播出能力的广播设备。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广播电视公共服务网点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有固定服务室，提供广播电视运行维护服务。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乡风文明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新时代文明实践所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专栏2  村（社区）综合性文化服务中心配置标准表</w:t>
      </w:r>
    </w:p>
    <w:tbl>
      <w:tblPr>
        <w:tblStyle w:val="9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850"/>
        <w:gridCol w:w="1251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中心村（社区）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其他村（社区）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基本标准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文体活动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室外文化活动广场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 平方米（自然条件受限制的地方可适当降低标准）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多功能活动室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≥90平方米，配备适合开展音乐、舞蹈、美术、书法、棋牌等活动的文化体育器材。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≥1个，可结合室外墙面布置。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多功能运动场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≥1000 平方米（受自然条件限制的地方≥600平方米）。应配置在居民区、人口密集区附近，方便群众使用。可与室外文化活动广场相结合，可配置篮球、羽毛球、乒乓球、健身路径等场地设施，可重叠画线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满足3种以上健身项目使用。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中心村应适当提升相关标准建设多功能运动场。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阅读科普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讲堂（辅导培训活动室）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满足普及知识、专业讲座和宣传教育等多种用途的使用，配备教育培训设备，具备播放录像、计算机投影等条件。可与多功能活动室结合。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农家书屋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业务用房≥50平方米，电子阅览设备≥2台，图书≥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1600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册，年新增图书≥60种，报刊≥30种，电子音像制品≥100种。有少年儿童类图书。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小型阅报栏（屏）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≥1个，至少提供2类报纸。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固定电影放映点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有醒目标识牌和宣传栏（发布放映场次安排、预告宣传、预约放映，监督检查、放映人员联系方式等内容）；场地面积不小于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00平方米，可放置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把活动座椅；放映场所应保证建筑物安全，有足够的疏散通道和出入口标志；配备专业的放映设备。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传承体验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村史博物馆（陈列室）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展览面积不低于100平方米，展品（藏品）不低于100件。充分利用已收集或易于收集的本地历史见证物、文献文书、生产生活物品、农业手工业产品、习俗和节庆资料，围绕村史沿革、村规民约、民俗风情、乡贤名人、家风家训、发展成就等，举办主题鲜明、各具特色、内涵丰富的陈列展览。馆舍大小、规模以满足展品安全和展陈需要为宜；展馆及相应设施应安装防雷、防火、防盗等技防设施，制定各类防灾预案，并设置防灾指示标志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广电综合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机房面积≥15平方米，提供广播节目和突发事件应急广播服务，配备符合标准的应急广播适配器、多模收扩机、高清大喇叭等。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广播电视公共服务村级代办点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有固定服务室。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乡风文明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新时代文明实践站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textAlignment w:val="auto"/>
        <w:rPr>
          <w:rFonts w:hint="eastAsia" w:ascii="方正黑体_GBK" w:hAnsi="方正黑体_GBK" w:eastAsia="方正黑体_GBK"/>
          <w:sz w:val="33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注：▲为应配置的项目，△为根据实际情况按需配置的项目。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overflowPunct w:val="0"/>
        <w:topLinePunct w:val="0"/>
        <w:autoSpaceDE/>
        <w:autoSpaceDN/>
        <w:bidi w:val="0"/>
        <w:adjustRightInd/>
        <w:spacing w:before="103" w:line="590" w:lineRule="exact"/>
        <w:ind w:left="0" w:leftChars="0" w:right="2" w:firstLine="0" w:firstLineChars="0"/>
        <w:jc w:val="center"/>
        <w:textAlignment w:val="auto"/>
        <w:rPr>
          <w:rFonts w:hint="eastAsia" w:ascii="方正黑体_GBK" w:hAnsi="方正黑体_GBK" w:eastAsia="方正黑体_GBK"/>
          <w:w w:val="95"/>
          <w:sz w:val="33"/>
          <w:szCs w:val="24"/>
        </w:rPr>
      </w:pPr>
      <w:r>
        <w:rPr>
          <w:rFonts w:hint="eastAsia" w:ascii="方正黑体_GBK" w:hAnsi="方正黑体_GBK" w:eastAsia="方正黑体_GBK"/>
          <w:sz w:val="33"/>
          <w:szCs w:val="24"/>
        </w:rPr>
        <w:t>第</w:t>
      </w:r>
      <w:r>
        <w:rPr>
          <w:rFonts w:hint="eastAsia" w:ascii="方正黑体_GBK" w:hAnsi="方正黑体_GBK" w:eastAsia="方正黑体_GBK"/>
          <w:sz w:val="33"/>
          <w:szCs w:val="24"/>
          <w:lang w:val="en-US" w:eastAsia="zh-CN"/>
        </w:rPr>
        <w:t>四</w:t>
      </w:r>
      <w:r>
        <w:rPr>
          <w:rFonts w:hint="eastAsia" w:ascii="方正黑体_GBK" w:hAnsi="方正黑体_GBK" w:eastAsia="方正黑体_GBK"/>
          <w:sz w:val="33"/>
          <w:szCs w:val="24"/>
        </w:rPr>
        <w:t>章</w:t>
      </w:r>
      <w:r>
        <w:rPr>
          <w:rFonts w:hint="eastAsia" w:ascii="方正黑体_GBK" w:hAnsi="方正黑体_GBK" w:eastAsia="方正黑体_GBK"/>
          <w:sz w:val="33"/>
          <w:szCs w:val="24"/>
        </w:rPr>
        <w:tab/>
      </w:r>
      <w:r>
        <w:rPr>
          <w:rFonts w:hint="eastAsia" w:ascii="方正黑体_GBK" w:hAnsi="方正黑体_GBK" w:eastAsia="方正黑体_GBK"/>
          <w:sz w:val="33"/>
          <w:szCs w:val="24"/>
          <w:lang w:val="en-US" w:eastAsia="zh-CN"/>
        </w:rPr>
        <w:t>规划</w:t>
      </w:r>
      <w:r>
        <w:rPr>
          <w:rFonts w:hint="eastAsia" w:ascii="方正黑体_GBK" w:hAnsi="方正黑体_GBK" w:eastAsia="方正黑体_GBK"/>
          <w:w w:val="95"/>
          <w:sz w:val="33"/>
          <w:szCs w:val="24"/>
        </w:rPr>
        <w:t>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第一节  重点项目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2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健全公共文化服务体系</w:t>
      </w: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项目。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按照乡镇综合文化服务中心标准在现有4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乡镇文化站基础上进行改扩建，按照村级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综合文化服务中心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标准在现有11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片区中心村文化室基础上进行改扩建，改扩建红色文化旧址4个，打造红色文学创作基地1个，改扩建传统文化传承基地1个（竹丝画帘），新建文化剧场1个，改扩建文体广场2个，新建片区乡镇中心村（社区）固定电影放映点15个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全覆盖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改扩建33个村（社区）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多功能运动场，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新建乡镇影院1个，打造鸣钟滨河文化走廊1个，新建鸣钟农业主题文化公园1个，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规范广播电视公共服务村级代办点 11个，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推进新时代文明实践所（站） 标准化建设。聚焦群众关心的服务效率问题，提供便民惠民的优质服务。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构建形成覆盖城乡、功能齐备的现代公共文化服务体系。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.保护传承体验基地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项目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。一是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改扩建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竹丝画（绣）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帘、剪纸传承体验基地，建设内容包括飞龙竹丝画帘、剪纸非物质文化遗产保护、文化遗产传承和管理使用等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</w:rPr>
        <w:t>，以及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周边环境、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</w:rPr>
        <w:t>步道建设等。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三溪镇朝门院子项目，维护和展现民国风情建筑、挖掘“农耕文化”。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t>红色文化旧址保护项目，进一步挖掘武胜红色文化，完善周边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配套设施，建成川渝红色文学创作基地，打造川渝红色文学采风创作交流平台，每年举办红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色文学座谈会。常态化开展非遗传习活动，积极</w:t>
      </w:r>
      <w:r>
        <w:rPr>
          <w:rFonts w:hint="default" w:ascii="Times New Roman" w:hAnsi="Times New Roman" w:eastAsia="方正仿宋_GBK" w:cs="Times New Roman"/>
          <w:color w:val="auto"/>
          <w:spacing w:val="-14"/>
          <w:sz w:val="33"/>
          <w:szCs w:val="24"/>
        </w:rPr>
        <w:t>申报和升级一批非遗项目。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四是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村史馆建设项目，全方位呈现村落历史变迁，传承乡土文化和民俗风情。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“复兴少年宫”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建设项目。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因地制宜，结合地方实际打造独具特色的乡村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“复兴少年宫”品牌，在飞龙镇建设“复兴少年宫”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1个，开展道德培育、文体娱乐、劳动实践等活动，促进青少年身心全面发展。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4.滨河文化走廊项目。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对鸣钟镇现有的自然条件，依托长滩寺河沿线自然风光，打造花卉观赏走廊、文化宣传走廊、步行小道等1500米，与县级长滩寺河沿河路产业项目相辅相成，形成环境艺术相结合的文化走廊。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第二节  重要活动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6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lang w:val="en-US" w:eastAsia="zh-CN" w:bidi="ar-SA"/>
        </w:rPr>
        <w:t>1.新时代文明实践示范活动。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建设飞龙农旅融合片区新时代文明实践所，常态化开展新时代实践活动，统筹全片区理论宣讲、教育服务、文化服务、科技科普、健身体育等志愿服务力量，开展“文化科技卫生法律四下乡”“乡村文化大比武”“非物文化传承展”等群众性文化活动，开展送政策、送温暖、送服务、评精神面貌、评环境卫生、评社会公德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lang w:val="en-US" w:eastAsia="zh-CN" w:bidi="ar-SA"/>
        </w:rPr>
        <w:t>文化惠民服务活动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以飞龙镇为中心，大力扶持本地民间职业剧团和农村业余演艺团体发展，培育农村业余演艺团体、民间艺术团队，定期组织进乡村、进社区、进学校开展连响普及、培训及辅导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常态化开展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祝福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、送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文艺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送文化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群众性文化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活动不少于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 w:bidi="ar-SA"/>
        </w:rPr>
        <w:t>场次。</w:t>
      </w:r>
    </w:p>
    <w:p>
      <w:pPr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pacing w:line="590" w:lineRule="exact"/>
        <w:ind w:firstLine="662" w:firstLineChars="200"/>
        <w:textAlignment w:val="auto"/>
        <w:rPr>
          <w:rFonts w:hint="eastAsia" w:ascii="方正黑体_GBK" w:hAnsi="方正黑体_GBK" w:eastAsia="方正黑体_GBK"/>
          <w:sz w:val="33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lang w:val="en-US" w:eastAsia="zh-CN" w:bidi="ar-SA"/>
        </w:rPr>
        <w:t>3.民俗文化展示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lang w:val="en-US" w:eastAsia="zh-CN" w:bidi="ar-SA"/>
        </w:rPr>
        <w:t>活动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3"/>
          <w:szCs w:val="33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在端午节、中秋节、春节、元宵节等传统节日、以及“世界文化遗产日”“世界博物馆日”等重要事件节点，开展本片区相关的非遗民俗文化体验展示活动，开办飞龙竹丝画帘（绣）传统文化展，展现朝门院子市集五铺、民间五坊等川东特色，打造红岩广场“放歌武胜”等文化活动品牌。让游客群众感受当地民俗文化传统优秀传承项目的同时，了解当地革命历史文化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overflowPunct w:val="0"/>
        <w:topLinePunct w:val="0"/>
        <w:autoSpaceDE/>
        <w:autoSpaceDN/>
        <w:bidi w:val="0"/>
        <w:adjustRightInd/>
        <w:spacing w:before="3" w:line="590" w:lineRule="exact"/>
        <w:ind w:left="0" w:leftChars="0" w:right="2" w:firstLine="0" w:firstLineChars="0"/>
        <w:jc w:val="center"/>
        <w:textAlignment w:val="auto"/>
        <w:rPr>
          <w:rFonts w:hint="eastAsia" w:ascii="方正黑体_GBK" w:hAnsi="方正黑体_GBK" w:eastAsia="方正黑体_GBK"/>
          <w:sz w:val="33"/>
          <w:szCs w:val="24"/>
        </w:rPr>
      </w:pPr>
      <w:r>
        <w:rPr>
          <w:rFonts w:hint="eastAsia" w:ascii="方正黑体_GBK" w:hAnsi="方正黑体_GBK" w:eastAsia="方正黑体_GBK"/>
          <w:sz w:val="33"/>
          <w:szCs w:val="24"/>
        </w:rPr>
        <w:t>第五章</w:t>
      </w:r>
      <w:r>
        <w:rPr>
          <w:rFonts w:hint="eastAsia" w:ascii="方正黑体_GBK" w:hAnsi="方正黑体_GBK" w:eastAsia="方正黑体_GBK"/>
          <w:sz w:val="33"/>
          <w:szCs w:val="24"/>
        </w:rPr>
        <w:tab/>
      </w:r>
      <w:r>
        <w:rPr>
          <w:rFonts w:hint="eastAsia" w:ascii="方正黑体_GBK" w:hAnsi="方正黑体_GBK" w:eastAsia="方正黑体_GBK"/>
          <w:sz w:val="33"/>
          <w:szCs w:val="24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第一节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ab/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强化政策配套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建立健全文化基础设施建设优惠政策，探索实施免费提供 文化设施建设用地或减收土地租金、减免建设中的各项税费等机制。出台鼓励社会资本对文化基础设施投入的优惠政策，进一步拓宽文化基础设施建设经费来源，调动社会力量参与基层文化设施建设的积极性，鼓励社会力量赞助、捐赠文化设施支持社会文化事业发展，逐步形成以政府投入为主导，社会投入为补充的多渠道投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第二节  强化资金保障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加强公共文化设施的财力保障，通过向上争取专项资金方式，建立公共文化设施建设维护专项资金，纳入地方财政年度支出预算，并根据经济增长情况，按比例逐年增加资金预算，持续加大投入力度。加大资金向中心镇村投入比重，适当予以倾斜，强化示范带动作用，提高资金使用效率，增强辐射和服务效能。由县级文化主管部门牵头，建立公共文化设施台账及重点项目库，项目多向中心镇、村（社区）和特色文化镇、村（社区）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第三节  强化队伍建设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配齐建强基层公共文化设施管理服务人员队伍。在现有编制总量内，落实每个乡镇综合文化站（中心）编制配备不少于1至2名的要求，规模较大的乡镇适当增加；村（社区）综合性文化服务中心由村（社区）“两委”确定1名兼职工作人员，同时通过县、乡两级统筹和购买服务等方式解决人员不足问题。强化队伍能力素质提升，围绕公共文化事业发展新需求，以守牢阵地、活化利用、不断挖潜为核心，采取线上线下培训的方式，重点在增强数字化服务、信息宣传和基层业务方面，持续增强管理服务人员的公共文化服务能力和素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lang w:val="en-US" w:eastAsia="zh-CN" w:bidi="ar-SA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武胜县飞龙农旅融合片区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文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发展重点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lang w:val="en-US" w:eastAsia="zh-CN" w:bidi="ar-SA"/>
        </w:rPr>
        <w:t xml:space="preserve">          </w:t>
      </w:r>
    </w:p>
    <w:p>
      <w:pPr>
        <w:jc w:val="left"/>
        <w:outlineLvl w:val="1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武胜县飞龙农旅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融合片区文化发展重点规划项目</w:t>
      </w:r>
    </w:p>
    <w:p>
      <w:pPr>
        <w:widowControl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tbl>
      <w:tblPr>
        <w:tblStyle w:val="9"/>
        <w:tblW w:w="13697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481"/>
        <w:gridCol w:w="1771"/>
        <w:gridCol w:w="780"/>
        <w:gridCol w:w="3551"/>
        <w:gridCol w:w="1137"/>
        <w:gridCol w:w="1022"/>
        <w:gridCol w:w="23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建设地址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建设内容及规模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建设年限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元）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总计（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12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个项目）</w:t>
            </w:r>
          </w:p>
        </w:tc>
        <w:tc>
          <w:tcPr>
            <w:tcW w:w="113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9100</w:t>
            </w:r>
          </w:p>
        </w:tc>
        <w:tc>
          <w:tcPr>
            <w:tcW w:w="232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乡镇综合文化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服务中心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个）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飞龙镇、三溪镇、鸣钟镇、猛山乡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改扩建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建筑面积≥500平方米，内设多功能活动室、培训室、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阅览室、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假日学校、固定电影放映点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新时代文明实践所、县级文化馆图书馆分馆（图书阅览室）、广播站（广播电视公共服务网点）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等功能用房，室外配套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多功能运动场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（原则上≥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00 平方米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）、小型戏台（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15平方米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-2035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2328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飞龙镇、三溪镇、鸣钟镇、猛山乡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县委宣传部、县教科体局、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县文广旅局等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文体广场建设项目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猛山乡、鸣钟镇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改建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利用现有场地改扩建综合文体广场两个，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猛山乡建筑面积≥2000平方米，鸣钟镇≥1000平方米。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2022-2035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猛山乡、鸣钟镇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县教科体局等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多功能运动场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个）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所有村、社区（中心村除外）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建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体育场地总面积≥1000 平方米（受自然条件限制的地方≥600平方米）。应配置在居民区、人口密集区附近，方便群众使用。可与室外文化活动广场相结合，可配置篮球、羽毛球、乒乓球、健身路径等场地设施，可重叠画线满足3种以上健身项目使用。中心村应适当提升相关标准建设多功能运动场。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-20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飞龙镇、三溪镇、鸣钟镇、猛山乡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县教科体局等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文化剧场（1个）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改建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在现有剧场主体工程基础上提档升级，建设片区文化剧场，满足舞台表演、民俗活动等多种功能需要。可与社会力量共建。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2022-2030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光明公司、飞龙镇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县文广旅局等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49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村综合文化服务中心建设项目（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right="8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片区乡镇各中心村</w:t>
            </w: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改扩建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含一个文化活动广场（≥600平方米）、一个文化活动室（≥50平方米）、一个简易戏台、一个宣传栏、一套文化器材、一套广播器材、一个农家书屋（≥20平方米）、一个新时代文明实践站等。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2023-2035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飞龙镇、三溪镇、鸣钟镇、猛山乡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县委宣传部、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县文广旅局等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滨河文化走廊（1个）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鸣钟镇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依托长滩寺河沿线自然风光，打造花卉观赏走廊、文化宣传走廊、步行小道等1500米，与县级长滩寺河沿河路产业项目相辅相成。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2022-2035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鸣钟镇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县文广旅局等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农业主题文化公园（1个）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鸣钟镇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依托小寨村、龙鳌村晚熟柑橘、李子、桃子、葡萄、枇杷等水果种植基地、沙滩车骑行基地、肉牛养殖基地等资源，建设水果博览园、田园文化体验园等项目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2022-2035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鸣钟镇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县文广旅局等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川渝红色文学创作基地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面积约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3亩，按照一园（红色文化园）一苑(红岩文苑，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设立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红书馆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文学创作室等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功能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布局）一院（朝门文化院子）的线路进行打造。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2022-2025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328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县文联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县委宣传部等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非遗传承保护体验基地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改扩建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建设以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飞龙竹丝画（绣）帘、剪纸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等代表性非遗项目为中心的非遗传承保护体验基地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及体验基地配套设施，挂牌成立教学实践基地。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2022-2030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2328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飞龙镇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县文广旅局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、县文化中心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胜天渡槽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三溪镇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改扩建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结合胜天渡槽现有建筑，打造渡槽景观体验、历史展示等项目，建成红色教育示范基地。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2022-2035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328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三溪镇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县文广旅局等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三溪影视基地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三溪镇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改扩建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在朝门院子现有基础上扩展休闲旅游各项功能，完善内部基础设施建设。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2022-2028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2328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三溪镇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县文广旅局等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三溪起义旧址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三溪镇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改扩建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结合三溪起义旧址黄明桥原地风貌，修葺旧址，打造红色教育示范点。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2022-2028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328" w:type="dxa"/>
            <w:noWrap w:val="0"/>
            <w:vAlign w:val="top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三溪镇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12"/>
              <w:kinsoku w:val="0"/>
              <w:overflowPunct w:val="0"/>
              <w:spacing w:line="270" w:lineRule="exact"/>
              <w:ind w:left="90" w:leftChars="0" w:right="82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县文广旅局等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lang w:val="en-US" w:eastAsia="zh-CN" w:bidi="ar-SA"/>
        </w:rPr>
      </w:pPr>
    </w:p>
    <w:sectPr>
      <w:pgSz w:w="16838" w:h="11906" w:orient="landscape"/>
      <w:pgMar w:top="1531" w:right="204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iNese1QAAAAc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TI4MTg1YTdiM2YwNzI2NGVhYTkzZDYzZmU2ZWYifQ=="/>
  </w:docVars>
  <w:rsids>
    <w:rsidRoot w:val="675A0CEC"/>
    <w:rsid w:val="002E6EEB"/>
    <w:rsid w:val="01644FD0"/>
    <w:rsid w:val="01853181"/>
    <w:rsid w:val="01DC28F9"/>
    <w:rsid w:val="02902A6D"/>
    <w:rsid w:val="02E127EE"/>
    <w:rsid w:val="032A21A7"/>
    <w:rsid w:val="04337ED1"/>
    <w:rsid w:val="05791D64"/>
    <w:rsid w:val="06B86C28"/>
    <w:rsid w:val="08720602"/>
    <w:rsid w:val="088D0517"/>
    <w:rsid w:val="094567AA"/>
    <w:rsid w:val="09E26E2E"/>
    <w:rsid w:val="0A7464E2"/>
    <w:rsid w:val="0AB07621"/>
    <w:rsid w:val="0B49419D"/>
    <w:rsid w:val="0CE045F1"/>
    <w:rsid w:val="0E766E4C"/>
    <w:rsid w:val="0E7F2CB2"/>
    <w:rsid w:val="0F5D78DB"/>
    <w:rsid w:val="0F811F33"/>
    <w:rsid w:val="0FFA1217"/>
    <w:rsid w:val="10F551DE"/>
    <w:rsid w:val="11DB6800"/>
    <w:rsid w:val="120F3F6D"/>
    <w:rsid w:val="12D44BF8"/>
    <w:rsid w:val="12F34B97"/>
    <w:rsid w:val="132A4818"/>
    <w:rsid w:val="14402723"/>
    <w:rsid w:val="148A6BEE"/>
    <w:rsid w:val="15D27ACB"/>
    <w:rsid w:val="171E28E6"/>
    <w:rsid w:val="17392AFF"/>
    <w:rsid w:val="17887D5F"/>
    <w:rsid w:val="17FD4AA7"/>
    <w:rsid w:val="18F953B8"/>
    <w:rsid w:val="1A5774BF"/>
    <w:rsid w:val="1A950533"/>
    <w:rsid w:val="1B001DD6"/>
    <w:rsid w:val="1B4A3CA9"/>
    <w:rsid w:val="1BF80445"/>
    <w:rsid w:val="1C37705B"/>
    <w:rsid w:val="1CDA2795"/>
    <w:rsid w:val="1D2668AD"/>
    <w:rsid w:val="1D7E5E8C"/>
    <w:rsid w:val="1E86604B"/>
    <w:rsid w:val="1FE83A91"/>
    <w:rsid w:val="20006665"/>
    <w:rsid w:val="203A606B"/>
    <w:rsid w:val="20854123"/>
    <w:rsid w:val="208745CC"/>
    <w:rsid w:val="20CC7E17"/>
    <w:rsid w:val="2229718C"/>
    <w:rsid w:val="2294396B"/>
    <w:rsid w:val="22B805BC"/>
    <w:rsid w:val="231606E9"/>
    <w:rsid w:val="231A271B"/>
    <w:rsid w:val="231C7ACE"/>
    <w:rsid w:val="23A203FB"/>
    <w:rsid w:val="23B1503C"/>
    <w:rsid w:val="245B5818"/>
    <w:rsid w:val="24AD225A"/>
    <w:rsid w:val="24CB3805"/>
    <w:rsid w:val="24D15111"/>
    <w:rsid w:val="25543168"/>
    <w:rsid w:val="25DC295F"/>
    <w:rsid w:val="26443888"/>
    <w:rsid w:val="26775B6F"/>
    <w:rsid w:val="267D2D4B"/>
    <w:rsid w:val="270F224B"/>
    <w:rsid w:val="276A38EA"/>
    <w:rsid w:val="27B22553"/>
    <w:rsid w:val="27C058BC"/>
    <w:rsid w:val="281774B7"/>
    <w:rsid w:val="285E3A5F"/>
    <w:rsid w:val="28AF3403"/>
    <w:rsid w:val="29385A89"/>
    <w:rsid w:val="2A610DEC"/>
    <w:rsid w:val="2B2426AA"/>
    <w:rsid w:val="2C7C42C7"/>
    <w:rsid w:val="2CDB633E"/>
    <w:rsid w:val="2D006532"/>
    <w:rsid w:val="2D595FCE"/>
    <w:rsid w:val="2DD75A2D"/>
    <w:rsid w:val="2DF37DDA"/>
    <w:rsid w:val="2E6E0A15"/>
    <w:rsid w:val="2E8329EA"/>
    <w:rsid w:val="2EB55486"/>
    <w:rsid w:val="302165FB"/>
    <w:rsid w:val="3038315C"/>
    <w:rsid w:val="30F878AC"/>
    <w:rsid w:val="31152A78"/>
    <w:rsid w:val="31B618C8"/>
    <w:rsid w:val="31BD2AB7"/>
    <w:rsid w:val="3200110E"/>
    <w:rsid w:val="32016DBC"/>
    <w:rsid w:val="320A053F"/>
    <w:rsid w:val="325646B8"/>
    <w:rsid w:val="33C97BB8"/>
    <w:rsid w:val="34B26C82"/>
    <w:rsid w:val="350A076B"/>
    <w:rsid w:val="361123A3"/>
    <w:rsid w:val="36B83D65"/>
    <w:rsid w:val="36D07E14"/>
    <w:rsid w:val="376509F8"/>
    <w:rsid w:val="37FF1778"/>
    <w:rsid w:val="38541B5F"/>
    <w:rsid w:val="387E1CE4"/>
    <w:rsid w:val="39283F10"/>
    <w:rsid w:val="394A4F25"/>
    <w:rsid w:val="397D70D7"/>
    <w:rsid w:val="3A42113F"/>
    <w:rsid w:val="3A8A3C6B"/>
    <w:rsid w:val="3B176C74"/>
    <w:rsid w:val="3B8B5D0C"/>
    <w:rsid w:val="3B8F7081"/>
    <w:rsid w:val="3BB66C7F"/>
    <w:rsid w:val="3BD47E91"/>
    <w:rsid w:val="3DA8584D"/>
    <w:rsid w:val="3E491747"/>
    <w:rsid w:val="3F735933"/>
    <w:rsid w:val="3FC84440"/>
    <w:rsid w:val="401D03FD"/>
    <w:rsid w:val="41397816"/>
    <w:rsid w:val="417A0570"/>
    <w:rsid w:val="41953903"/>
    <w:rsid w:val="41AA0033"/>
    <w:rsid w:val="4242671E"/>
    <w:rsid w:val="426A369B"/>
    <w:rsid w:val="429346C1"/>
    <w:rsid w:val="42B77398"/>
    <w:rsid w:val="43B5173D"/>
    <w:rsid w:val="43CF463B"/>
    <w:rsid w:val="4476700E"/>
    <w:rsid w:val="45E151BD"/>
    <w:rsid w:val="45EE0BDA"/>
    <w:rsid w:val="475E1EF3"/>
    <w:rsid w:val="47E50D88"/>
    <w:rsid w:val="486925D5"/>
    <w:rsid w:val="49DB7C03"/>
    <w:rsid w:val="4A2E2C6A"/>
    <w:rsid w:val="4B3351A1"/>
    <w:rsid w:val="4C3C3CBD"/>
    <w:rsid w:val="4E680B95"/>
    <w:rsid w:val="4EEE3B42"/>
    <w:rsid w:val="4FE81398"/>
    <w:rsid w:val="509849B3"/>
    <w:rsid w:val="50B143D2"/>
    <w:rsid w:val="511B7065"/>
    <w:rsid w:val="519D7DA1"/>
    <w:rsid w:val="52260EBA"/>
    <w:rsid w:val="52E21865"/>
    <w:rsid w:val="53B2269B"/>
    <w:rsid w:val="55106DDC"/>
    <w:rsid w:val="555E5F59"/>
    <w:rsid w:val="56C02A96"/>
    <w:rsid w:val="56F04A0B"/>
    <w:rsid w:val="56F438DD"/>
    <w:rsid w:val="57620F80"/>
    <w:rsid w:val="57E0285A"/>
    <w:rsid w:val="58F367D6"/>
    <w:rsid w:val="59143F7C"/>
    <w:rsid w:val="59B841DE"/>
    <w:rsid w:val="5A2C2E60"/>
    <w:rsid w:val="5A9776E6"/>
    <w:rsid w:val="5AE979DC"/>
    <w:rsid w:val="5C402D56"/>
    <w:rsid w:val="5D533D12"/>
    <w:rsid w:val="5E140A6B"/>
    <w:rsid w:val="5E9468AE"/>
    <w:rsid w:val="5F186515"/>
    <w:rsid w:val="5F340AF4"/>
    <w:rsid w:val="5F39767F"/>
    <w:rsid w:val="60694E34"/>
    <w:rsid w:val="60A76C23"/>
    <w:rsid w:val="60CB7B75"/>
    <w:rsid w:val="61163776"/>
    <w:rsid w:val="61396F86"/>
    <w:rsid w:val="621626E9"/>
    <w:rsid w:val="62382DFB"/>
    <w:rsid w:val="631303F2"/>
    <w:rsid w:val="652675FC"/>
    <w:rsid w:val="65D90ED8"/>
    <w:rsid w:val="66B61212"/>
    <w:rsid w:val="673A7419"/>
    <w:rsid w:val="675A0CEC"/>
    <w:rsid w:val="676B38EC"/>
    <w:rsid w:val="68C23E4B"/>
    <w:rsid w:val="69137133"/>
    <w:rsid w:val="691B0859"/>
    <w:rsid w:val="698A2650"/>
    <w:rsid w:val="698B6EB5"/>
    <w:rsid w:val="69971726"/>
    <w:rsid w:val="699E7B46"/>
    <w:rsid w:val="6C2B2F44"/>
    <w:rsid w:val="6C502023"/>
    <w:rsid w:val="6C800BEF"/>
    <w:rsid w:val="6D3671B7"/>
    <w:rsid w:val="6F96401C"/>
    <w:rsid w:val="6FD20959"/>
    <w:rsid w:val="7179127E"/>
    <w:rsid w:val="71FC2786"/>
    <w:rsid w:val="72143349"/>
    <w:rsid w:val="72161CF1"/>
    <w:rsid w:val="726F697B"/>
    <w:rsid w:val="73024AE7"/>
    <w:rsid w:val="7432730F"/>
    <w:rsid w:val="75CC3E1E"/>
    <w:rsid w:val="76127EAB"/>
    <w:rsid w:val="766939F4"/>
    <w:rsid w:val="77601E04"/>
    <w:rsid w:val="778253BE"/>
    <w:rsid w:val="791636B9"/>
    <w:rsid w:val="796958B7"/>
    <w:rsid w:val="7A9276F1"/>
    <w:rsid w:val="7AB8791E"/>
    <w:rsid w:val="7B192ECB"/>
    <w:rsid w:val="7BD61B65"/>
    <w:rsid w:val="7CA010C3"/>
    <w:rsid w:val="7D266C3C"/>
    <w:rsid w:val="7D590CAC"/>
    <w:rsid w:val="7DBF4A02"/>
    <w:rsid w:val="7E3019ED"/>
    <w:rsid w:val="7E406160"/>
    <w:rsid w:val="7EE66DC8"/>
    <w:rsid w:val="7FB74971"/>
    <w:rsid w:val="EFE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1"/>
    <w:pPr>
      <w:spacing w:before="80"/>
      <w:jc w:val="center"/>
      <w:outlineLvl w:val="1"/>
    </w:pPr>
    <w:rPr>
      <w:rFonts w:hint="eastAsia" w:ascii="方正楷体_GBK" w:hAnsi="方正楷体_GBK" w:eastAsia="方正楷体_GBK"/>
      <w:b/>
      <w:sz w:val="33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85"/>
      <w:ind w:left="829"/>
    </w:pPr>
    <w:rPr>
      <w:rFonts w:ascii="PMingLiU" w:hAnsi="PMingLiU" w:eastAsia="PMingLiU" w:cs="PMingLiU"/>
      <w:sz w:val="24"/>
      <w:szCs w:val="24"/>
      <w:lang w:val="zh-CN" w:bidi="zh-CN"/>
    </w:rPr>
  </w:style>
  <w:style w:type="paragraph" w:styleId="4">
    <w:name w:val="Salutation"/>
    <w:basedOn w:val="1"/>
    <w:next w:val="1"/>
    <w:unhideWhenUsed/>
    <w:qFormat/>
    <w:uiPriority w:val="99"/>
    <w:rPr>
      <w:rFonts w:hint="eastAsia" w:ascii="Times New Roman" w:hAnsi="Times New Roman"/>
      <w:sz w:val="22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7033</Words>
  <Characters>7305</Characters>
  <Lines>0</Lines>
  <Paragraphs>0</Paragraphs>
  <TotalTime>61</TotalTime>
  <ScaleCrop>false</ScaleCrop>
  <LinksUpToDate>false</LinksUpToDate>
  <CharactersWithSpaces>7385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2022-03-21T09:31:00Z</dcterms:created>
  <dc:creator>一心*</dc:creator>
  <cp:lastModifiedBy>kylin</cp:lastModifiedBy>
  <cp:lastPrinted>2022-05-05T15:41:00Z</cp:lastPrinted>
  <dcterms:modified xsi:type="dcterms:W3CDTF">2023-10-30T11:51:40Z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760F755C905F4267AD22757B8B1DD150_13</vt:lpwstr>
  </property>
</Properties>
</file>