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bookmarkStart w:id="0" w:name="_Toc6313"/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武胜县万善农业物流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片区</w:t>
      </w:r>
    </w:p>
    <w:bookmarkEnd w:id="0"/>
    <w:p>
      <w:pPr>
        <w:spacing w:line="700" w:lineRule="exact"/>
        <w:jc w:val="center"/>
        <w:rPr>
          <w:rFonts w:hint="eastAsia" w:ascii="方正黑体_GBK" w:eastAsia="方正黑体_GBK" w:cs="方正黑体_GBK"/>
          <w:sz w:val="33"/>
          <w:szCs w:val="33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公共文化设施专项规划</w:t>
      </w:r>
    </w:p>
    <w:p>
      <w:pPr>
        <w:pStyle w:val="5"/>
        <w:keepNext w:val="0"/>
        <w:keepLines w:val="0"/>
        <w:pageBreakBefore w:val="0"/>
        <w:widowControl w:val="0"/>
        <w:tabs>
          <w:tab w:val="left" w:pos="1319"/>
        </w:tabs>
        <w:kinsoku w:val="0"/>
        <w:overflowPunct w:val="0"/>
        <w:topLinePunct w:val="0"/>
        <w:autoSpaceDE/>
        <w:autoSpaceDN/>
        <w:bidi w:val="0"/>
        <w:spacing w:line="590" w:lineRule="exact"/>
        <w:ind w:left="0" w:leftChars="0" w:right="1" w:firstLine="0" w:firstLineChars="0"/>
        <w:jc w:val="both"/>
        <w:textAlignment w:val="auto"/>
        <w:rPr>
          <w:rFonts w:hint="eastAsia" w:ascii="方正黑体_GBK" w:eastAsia="方正黑体_GBK" w:cs="方正黑体_GBK"/>
          <w:sz w:val="33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  <w:t>第一章</w:t>
      </w:r>
      <w:r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  <w:tab/>
      </w:r>
      <w:r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  <w:t>总则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第一节  规划背景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为深入贯彻习近平总书记关于国土空间规划的系列批示指示精神，全面落实省委省政府、市委市政府、县委县政府关于做好两项改革“后半篇”文章相关工作的决策部署，推动与乡镇级片区国土空间规划有效融合衔接，进一步提高片区规划整体性和协同性，确保两项改革“后半篇”文章工作举措落实落地，为乡村振兴和县域经济高质量发展打下坚实基础，实施乡镇级片区专项规划。根据《四川省乡镇级片区公共文化设施专项规划导则》《武胜县片区为单元编制乡村国土空间规划工作方案》等文件要求，立足万善农业物流片区实际，从强化均衡发展、 提升设施空间品质、打造特色品牌等方面固强补弱，全面提升公共文化设施建设、管理和服务水平，满足广大群众不断增长的文化需求，结合工作实际，制定万善农业物流片区公共文化设施专项规划。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第二节  指导思想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以习近平新时代中国特色社会主义思想为指导，全面贯彻党的二十大</w:t>
      </w:r>
      <w:bookmarkStart w:id="1" w:name="_GoBack"/>
      <w:bookmarkEnd w:id="1"/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精神， 立足新发展阶段、贯彻新发展理念、融入新发展格局，坚持稳中求进工作总基调，以片区为单元，引领资源要素集约节约配置，重塑乡村经济地理格局，坚持以人民为中心，顺应人民群众对美好生活的新期待，以“十里文化圈”为服务半径，统筹公共文化设施，推动公共文化服务向高品质和多样化升级，切实保障文化民生，为全面建设社会主义现代化武胜夯实底部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第三节  规划范围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本规划范围为万善农业物流片区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覆盖万善镇、宝箴塞镇、龙女镇、万隆镇 4个镇、53个村（社区）、常住人口12.09万人，幅员面积约为163.63平方公里。</w:t>
      </w:r>
    </w:p>
    <w:p>
      <w:pPr>
        <w:pStyle w:val="2"/>
        <w:ind w:left="2970" w:hanging="2970" w:hangingChars="900"/>
        <w:rPr>
          <w:rFonts w:hint="eastAsia" w:ascii="Times New Roman" w:hAnsi="Times New Roman" w:eastAsia="方正小标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drawing>
          <wp:inline distT="0" distB="0" distL="114300" distR="114300">
            <wp:extent cx="5729605" cy="3589020"/>
            <wp:effectExtent l="0" t="0" r="4445" b="11430"/>
            <wp:docPr id="3" name="图片 3" descr="2G_{)BHKE`45Q054GM4O7F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G_{)BHKE`45Q054GM4O7FS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小标宋_GBK" w:cs="Times New Roman"/>
          <w:sz w:val="24"/>
          <w:szCs w:val="24"/>
          <w:lang w:val="en-US" w:eastAsia="zh-CN"/>
        </w:rPr>
        <w:t>万善农业物流</w:t>
      </w:r>
      <w:r>
        <w:rPr>
          <w:rFonts w:hint="default" w:ascii="Times New Roman" w:hAnsi="Times New Roman" w:eastAsia="方正小标宋_GBK" w:cs="Times New Roman"/>
          <w:sz w:val="24"/>
          <w:szCs w:val="24"/>
          <w:lang w:val="en-US" w:eastAsia="zh-CN"/>
        </w:rPr>
        <w:t>片区</w:t>
      </w:r>
      <w:r>
        <w:rPr>
          <w:rFonts w:hint="eastAsia" w:ascii="Times New Roman" w:hAnsi="Times New Roman" w:eastAsia="方正小标宋_GBK" w:cs="Times New Roman"/>
          <w:sz w:val="24"/>
          <w:szCs w:val="24"/>
          <w:lang w:val="en-US" w:eastAsia="zh-CN"/>
        </w:rPr>
        <w:t>划分示意图</w:t>
      </w:r>
    </w:p>
    <w:p>
      <w:pPr>
        <w:pStyle w:val="2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val="en-US" w:eastAsia="zh-CN"/>
        </w:rPr>
        <w:t>第二章  片区现状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第一节  设施现状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文体广场 4 个，篮球场 4个，羽毛球场4个，新时代文明实践所 4个、新时代文明实践站 46个，文化院坝 29 个，农家（社区）书屋49个，乡镇文化站 6个，村（社区）文化室34 个，广播村村响 53个、广播电视公共服务网点 4个，传统村落2个，文物保护单位 1个（国家级），非物质文化遗产名录1项（省级）。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1325"/>
        </w:tabs>
        <w:kinsoku w:val="0"/>
        <w:overflowPunct w:val="0"/>
        <w:topLinePunct w:val="0"/>
        <w:autoSpaceDE/>
        <w:autoSpaceDN/>
        <w:bidi w:val="0"/>
        <w:spacing w:before="81" w:line="590" w:lineRule="exact"/>
        <w:textAlignment w:val="auto"/>
        <w:rPr>
          <w:rFonts w:hint="default" w:ascii="方正楷体_GBK" w:hAnsi="方正楷体_GBK" w:eastAsia="方正楷体_GBK" w:cs="方正楷体_GBK"/>
          <w:b/>
          <w:bCs/>
          <w:kern w:val="2"/>
          <w:sz w:val="33"/>
          <w:szCs w:val="33"/>
          <w:lang w:val="en-US" w:eastAsia="zh-CN" w:bidi="ar-SA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b/>
          <w:bCs/>
          <w:kern w:val="2"/>
          <w:sz w:val="33"/>
          <w:szCs w:val="33"/>
          <w:lang w:val="en-US" w:eastAsia="zh-CN" w:bidi="ar-SA"/>
        </w:rPr>
        <w:t>第二节  存在问题</w:t>
      </w:r>
    </w:p>
    <w:p>
      <w:pPr>
        <w:keepNext w:val="0"/>
        <w:keepLines w:val="0"/>
        <w:pageBreakBefore w:val="0"/>
        <w:widowControl w:val="0"/>
        <w:topLinePunct w:val="0"/>
        <w:autoSpaceDE/>
        <w:autoSpaceDN/>
        <w:bidi w:val="0"/>
        <w:spacing w:line="590" w:lineRule="exact"/>
        <w:ind w:firstLine="662" w:firstLineChars="200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3"/>
          <w:szCs w:val="33"/>
          <w:lang w:val="en-US" w:eastAsia="zh-CN" w:bidi="ar-SA"/>
        </w:rPr>
        <w:t>（一）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随着农村经济不断发展，居民生活水平不断提高，人民群众对于文化的需求也越来越高，乡镇部分设施老旧种类少，这些已不能满足人们日益增长的文化需求，随着群众物质生活水平提高，对精神文化需求也越来越高，功能弱小的文化站无法满足群众日益增长且不断升级的文化需求，出现供需矛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opLinePunct w:val="0"/>
        <w:autoSpaceDE/>
        <w:autoSpaceDN/>
        <w:bidi w:val="0"/>
        <w:spacing w:line="590" w:lineRule="exact"/>
        <w:ind w:firstLine="662" w:firstLineChars="200"/>
        <w:textAlignment w:val="auto"/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3"/>
          <w:szCs w:val="33"/>
          <w:lang w:val="en-US" w:eastAsia="zh-CN" w:bidi="ar-SA"/>
        </w:rPr>
        <w:t>（二）文化站无专职人员，缺乏专业艺术人才。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随着乡镇群众文化活动的逐步开展，乡镇文化工作队伍的一些问题也暴露出来，如文化工作队伍还比较缺乏、业务技能不足等。一方面，乡镇专业文体专业人员较少，而且没有经常进行业务技能培训。另一方面，文化干部普遍存在专业知识欠缺，不利于乡镇文化活动的开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opLinePunct w:val="0"/>
        <w:autoSpaceDE/>
        <w:autoSpaceDN/>
        <w:bidi w:val="0"/>
        <w:spacing w:line="590" w:lineRule="exact"/>
        <w:ind w:firstLine="662" w:firstLineChars="200"/>
        <w:textAlignment w:val="auto"/>
        <w:rPr>
          <w:rFonts w:hint="eastAsia" w:ascii="方正黑体_GBK" w:eastAsia="方正黑体_GBK" w:cs="方正黑体_GBK"/>
          <w:sz w:val="33"/>
          <w:szCs w:val="33"/>
        </w:rPr>
      </w:pPr>
      <w:r>
        <w:rPr>
          <w:rFonts w:hint="eastAsia" w:ascii="Times New Roman" w:hAnsi="Times New Roman" w:eastAsia="方正仿宋_GBK" w:cs="Times New Roman"/>
          <w:b/>
          <w:bCs/>
          <w:kern w:val="2"/>
          <w:sz w:val="33"/>
          <w:szCs w:val="33"/>
          <w:lang w:val="en-US" w:eastAsia="zh-CN" w:bidi="ar-SA"/>
        </w:rPr>
        <w:t>（三）公共文化设施标准化建设覆盖率不高，运行经费不足。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从总体上看，农村公共文化设施建设相对滞后、规模偏小，布局及功能亟待提升。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  <w:t>第三章</w:t>
      </w:r>
      <w:r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val="en-US" w:eastAsia="zh-CN"/>
        </w:rPr>
        <w:t xml:space="preserve">  </w:t>
      </w:r>
      <w:r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  <w:t>发展目标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第一节  建设思路</w:t>
      </w:r>
    </w:p>
    <w:p>
      <w:pPr>
        <w:keepNext w:val="0"/>
        <w:keepLines w:val="0"/>
        <w:pageBreakBefore w:val="0"/>
        <w:widowControl w:val="0"/>
        <w:topLinePunct w:val="0"/>
        <w:autoSpaceDE/>
        <w:autoSpaceDN/>
        <w:bidi w:val="0"/>
        <w:spacing w:line="590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突出示范引领和辐射带动作用，整合资源，按照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1+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+N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。建设运营模式，即1个文化综合体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（以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阅读空间、展演场地、文体场所等文化设施为主体等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）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、5个功能区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（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文体活动空间、阅读科普空间、文化艺术空间、传承体验空间、广电综合空间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）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、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N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种创新模式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（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管理运行模式、服务产品供给、文化人才引入、资源投入等方面自主创新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）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，加强文化与旅游、文化与经济、文化与体育等融合发展，丰富群众文化生活，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促进片区文化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软实力高质量发展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打造县域文化次中心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。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全面建成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数字化图书馆（文化馆）、应急广播系统、文明实践站（所）等一系列文化基础设施，县、镇、村（社区）三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级公共文化设施覆盖率实现100%。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第二节  分级分类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本次规划在万善农业物流片区范围内分级分类布置文化设施，形成“四级五类”的规划体系。“四级”：按省市县相关文件要求形成中心镇、其他镇、中心村、其他村（社区）四个级别；“五类”：即文体活动类、阅读科普类、文化艺术类、广电综合类和传承体验类五个类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万善农业物流片区分级一览表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3"/>
        <w:gridCol w:w="6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7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中心镇</w:t>
            </w:r>
          </w:p>
        </w:tc>
        <w:tc>
          <w:tcPr>
            <w:tcW w:w="63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  <w:vertAlign w:val="baseline"/>
                <w:lang w:val="en-US" w:eastAsia="zh-CN"/>
              </w:rPr>
              <w:t>万善镇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7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其他镇</w:t>
            </w:r>
          </w:p>
        </w:tc>
        <w:tc>
          <w:tcPr>
            <w:tcW w:w="63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  <w:vertAlign w:val="baseline"/>
                <w:lang w:val="en-US" w:eastAsia="zh-CN"/>
              </w:rPr>
              <w:t>宝箴塞镇、龙女镇、万隆镇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7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中心村（社区）</w:t>
            </w:r>
          </w:p>
        </w:tc>
        <w:tc>
          <w:tcPr>
            <w:tcW w:w="63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  <w:vertAlign w:val="baseline"/>
                <w:lang w:val="en-US" w:eastAsia="zh-CN"/>
              </w:rPr>
              <w:t>伏虎村、板桥村、钟鸣村、大垭村、新学村、阳河村、湖果村、小河村、青岩村、幸福村、方家沟村、农山村、小河村、青岩村、幸福村15个村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27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其他村（社区）</w:t>
            </w:r>
          </w:p>
        </w:tc>
        <w:tc>
          <w:tcPr>
            <w:tcW w:w="63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  <w:vertAlign w:val="baseline"/>
                <w:lang w:val="en-US" w:eastAsia="zh-CN"/>
              </w:rPr>
              <w:t>羊城村、金乐村、白玉村、安堂村、降龙村、红垭村、干坝村、吊楼村、石屏村等38个村（社区）</w:t>
            </w:r>
          </w:p>
        </w:tc>
      </w:tr>
    </w:tbl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方正黑体_GBK" w:hAnsi="方正黑体_GBK" w:eastAsia="方正黑体_GBK" w:cs="方正黑体_GBK"/>
          <w:sz w:val="33"/>
          <w:szCs w:val="33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第三节  配置标准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根据设定的分级分类标准，合理确定不同等级公共文化设施配置标准（详见配置标准表），形成错位配置、相互补充的设施配套格局，构建起不同层级、不同类型的乡村文化生活圈。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专栏1  街道综合性文化服务中心配置标准表</w:t>
      </w:r>
    </w:p>
    <w:tbl>
      <w:tblPr>
        <w:tblStyle w:val="8"/>
        <w:tblW w:w="1004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"/>
        <w:gridCol w:w="2676"/>
        <w:gridCol w:w="870"/>
        <w:gridCol w:w="1230"/>
        <w:gridCol w:w="4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3267" w:type="dxa"/>
            <w:gridSpan w:val="2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color w:val="auto"/>
                <w:sz w:val="24"/>
                <w:szCs w:val="24"/>
              </w:rPr>
              <w:t>项目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b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color w:val="auto"/>
                <w:sz w:val="24"/>
                <w:szCs w:val="24"/>
                <w:lang w:eastAsia="zh-CN"/>
              </w:rPr>
              <w:t>中心街道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b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color w:val="auto"/>
                <w:sz w:val="24"/>
                <w:szCs w:val="24"/>
                <w:lang w:eastAsia="zh-CN"/>
              </w:rPr>
              <w:t>其他街道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color w:val="auto"/>
                <w:sz w:val="24"/>
                <w:szCs w:val="24"/>
              </w:rPr>
              <w:t>基本标准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restart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文体活动</w:t>
            </w: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室外文化活动广场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面积累计不低于1000 平方米（自然条件受限制的地方累计不低于500 平方米）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多功能活动室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≥90平方米，配备适合开展音乐、舞蹈、美术、书法、棋牌等活动的文化体育器材。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县级文化馆分馆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hint="eastAsia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依据相关部门文件要求建设。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宣传栏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≥1个，可结合室外墙面布置。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街道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健身中心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--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≥2000平方米（含室内≥150 平方米），可由2处健身场地的面积相加构成。应配置在居民区、人口密集区附近，方便群众使用。可与室外文化活动广场相结合，可配置篮球、气排球、羽毛球、乒乓球、笼式足球、健身路径等场地设施，可重叠画线</w:t>
            </w:r>
            <w:r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  <w:t>满足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4</w:t>
            </w:r>
            <w:r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  <w:t>种以上健身项目使用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；室内健身场地可与多功能活动室结合，可配置室内球类运动设施、棋牌类设施、健身器械等。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多功能运动场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--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≥1200 平方米（受自然条件限制的地方≥700平方米）。应配置在居民区、人口密集区附近，方便群众使用。可与室外文化活动广场相结合，可配置篮球、羽毛球、乒乓球、健身路径等场地设施，可重叠画线</w:t>
            </w:r>
            <w:r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  <w:t>满足3种以上健身项目使用。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（注：有条件的乡镇可将多功能运动场升级为乡镇健身中心）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体育公园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总面积不低于2万平方米。其中，健身设施用地占比不低于20%，绿化用地占比不低于65%，至少具有4块以上运动场地，可同时开展的体育项目不少于3项。鼓励将多功能运动场、乡镇健身中心“公园化”。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restart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阅读科普</w:t>
            </w: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讲堂（辅导培训活动室）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≥30平方米，满足普及知识、专业讲座和宣传教育等多种用途的使用，配备教育培训设备，具备播放录像、计算机投影等条件。可与多功能活动室结合。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图书阅览室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≥30平方米，图书藏有量≥</w:t>
            </w:r>
            <w:r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000册，每年续订报刊≥</w:t>
            </w:r>
            <w:r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0种，更新图书≥200册；可供外借的基本藏书不低于总藏书量的2/3；有少年儿童类图书。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电子阅览室（文化信息资源共享工程活动室）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≥30平方米，配备满足不同群体多元需求的数字文化设备和数字文化信息资源。可与图书阅览室结合。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阅报栏（屏）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≥1个，至少提供2类报纸。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县级图书馆分馆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依据相关部门文件要求建设。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自助借阅点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设置在人流较为密集的区域，配置图书自助借还机，定期进行图书补充、更新、调整。可与社会力量共建。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小型特色书店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可与社会力量共建。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restart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文化艺术</w:t>
            </w: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小型戏台（舞台）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≥40平方米（10 米×5 米×0.8 米），可与室外文化活动广场、多动能活动室结合。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固定电影放映点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有醒目标识牌和宣传栏（发布放映场次安排、预告宣传、预约放映，监督检查、放映人员联系方式等内容）；场地面积不小于</w:t>
            </w:r>
            <w:r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00平方米，可放置1</w:t>
            </w:r>
            <w:r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  <w:t>00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把活动座椅；放映场所应保证建筑物安全，有足够的疏散通道和出入口标志；配备专业的放映设备。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小型剧场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满足戏剧表演、舞台表演、民俗活动、休憩等多种功能。可与社会力量共建。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restart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传承体验</w:t>
            </w: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乡史博物馆（陈列室）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展览面积不低于100平方米，展品（藏品）不低于100件。充分利用已收集或易于收集的本地历史见证物、文献文书、生产生活物品、农业手工业产品、习俗和节庆资料，围绕村史沿革、村规民约、民俗风情、乡贤名人、家风家训、发展成就等，举办主题鲜明、各具特色、内涵丰富的陈列展览。馆舍大小、规模以满足展品安全和展陈需要为宜；展馆及相应设施应安装防雷、防火、防盗等技防设施，制定各类防灾预案，并设置防灾指示标志。可与社会力量共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小型非遗馆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可与乡史博物馆结合。可与社会力量共建。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restart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广电综合</w:t>
            </w: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广播站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机房及业务用房面积≥80平方米，提供广播节目和突发事件应急广播服务，按国家标准配备具有应急广播消息接收、响应和播出能力的广播设备。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1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广播电视公共服务网点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有固定服务室，提供广播电视运行维护服务。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591" w:type="dxa"/>
            <w:noWrap w:val="0"/>
            <w:vAlign w:val="center"/>
          </w:tcPr>
          <w:p>
            <w:pPr>
              <w:spacing w:line="0" w:lineRule="atLeast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乡风文明</w:t>
            </w:r>
          </w:p>
        </w:tc>
        <w:tc>
          <w:tcPr>
            <w:tcW w:w="2676" w:type="dxa"/>
            <w:noWrap w:val="0"/>
            <w:vAlign w:val="center"/>
          </w:tcPr>
          <w:p>
            <w:pPr>
              <w:spacing w:line="0" w:lineRule="atLeast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新时代文明实践所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8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依据相关部门文件要求建设。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专栏2  村（社区）综合性文化服务中心配置标准表</w:t>
      </w:r>
    </w:p>
    <w:tbl>
      <w:tblPr>
        <w:tblStyle w:val="8"/>
        <w:tblW w:w="100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552"/>
        <w:gridCol w:w="850"/>
        <w:gridCol w:w="1251"/>
        <w:gridCol w:w="4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3256" w:type="dxa"/>
            <w:gridSpan w:val="2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color w:val="auto"/>
                <w:sz w:val="24"/>
                <w:szCs w:val="24"/>
              </w:rPr>
              <w:t>项目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color w:val="auto"/>
                <w:sz w:val="24"/>
                <w:szCs w:val="24"/>
              </w:rPr>
              <w:t>中心村（社区）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color w:val="auto"/>
                <w:sz w:val="24"/>
                <w:szCs w:val="24"/>
              </w:rPr>
              <w:t>其他村（社区）</w:t>
            </w:r>
          </w:p>
        </w:tc>
        <w:tc>
          <w:tcPr>
            <w:tcW w:w="467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color w:val="auto"/>
                <w:sz w:val="24"/>
                <w:szCs w:val="24"/>
              </w:rPr>
              <w:t>基本标准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Merge w:val="restart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文体活动</w:t>
            </w:r>
          </w:p>
        </w:tc>
        <w:tc>
          <w:tcPr>
            <w:tcW w:w="255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室外文化活动广场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71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</w:t>
            </w:r>
            <w:r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  <w:t>10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00 平方米（自然条件受限制的地方可适当降低标准）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55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多功能活动室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71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≥90平方米，配备适合开展音乐、舞蹈、美术、书法、棋牌等活动的文化体育器材。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704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55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宣传栏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71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≥1个，可结合室外墙面布置。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55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多功能运动场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71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≥1000 平方米（受自然条件限制的地方≥600平方米）。应配置在居民区、人口密集区附近，方便群众使用。可与室外文化活动广场相结合，可配置篮球、羽毛球、乒乓球、健身路径等场地设施，可重叠画线</w:t>
            </w:r>
            <w:r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  <w:t>满足3种以上健身项目使用。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中心村应适当提升相关标准建设多功能运动场。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Merge w:val="restart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阅读科普</w:t>
            </w:r>
          </w:p>
        </w:tc>
        <w:tc>
          <w:tcPr>
            <w:tcW w:w="255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讲堂（辅导培训活动室）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71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满足普及知识、专业讲座和宣传教育等多种用途的使用，配备教育培训设备，具备播放录像、计算机投影等条件。可与多功能活动室结合。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55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农家书屋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71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业务用房≥50平方米，电子阅览设备≥2台，图书≥</w:t>
            </w:r>
            <w:r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  <w:t>1600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册，年新增图书≥60种，报刊≥30种，电子音像制品≥100种。有少年儿童类图书。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704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552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小型阅报栏（屏）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71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≥1个，至少提供2类报纸。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552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固定电影放映点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4671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有醒目标识牌和宣传栏（发布放映场次安排、预告宣传、预约放映，监督检查、放映人员联系方式等内容）；场地面积不小于</w:t>
            </w:r>
            <w:r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00平方米，可放置</w:t>
            </w:r>
            <w:r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  <w:t>40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把活动座椅；放映场所应保证建筑物安全，有足够的疏散通道和出入口标志；配备专业的放映设备。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传承体验</w:t>
            </w:r>
          </w:p>
        </w:tc>
        <w:tc>
          <w:tcPr>
            <w:tcW w:w="2552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村史博物馆（陈列室）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4671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展览面积不低于100平方米，展品（藏品）不低于100件。充分利用已收集或易于收集的本地历史见证物、文献文书、生产生活物品、农业手工业产品、习俗和节庆资料，围绕村史沿革、村规民约、民俗风情、乡贤名人、家风家训、发展成就等，举办主题鲜明、各具特色、内涵丰富的陈列展览。馆舍大小、规模以满足展品安全和展陈需要为宜；展馆及相应设施应安装防雷、防火、防盗等技防设施，制定各类防灾预案，并设置防灾指示标志。可与社会力量共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Merge w:val="restart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广电综合</w:t>
            </w:r>
          </w:p>
        </w:tc>
        <w:tc>
          <w:tcPr>
            <w:tcW w:w="2552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广播室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4671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机房面积≥15平方米，提供广播节目和突发事件应急广播服务，配备符合标准的应急广播适配器、多模收扩机、高清大喇叭等。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Merge w:val="continue"/>
            <w:noWrap w:val="0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2552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广播电视公共服务村级代办点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4671" w:type="dxa"/>
            <w:noWrap w:val="0"/>
            <w:vAlign w:val="center"/>
          </w:tcPr>
          <w:p>
            <w:pPr>
              <w:spacing w:line="0" w:lineRule="atLeas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有固定服务室。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noWrap w:val="0"/>
            <w:vAlign w:val="center"/>
          </w:tcPr>
          <w:p>
            <w:pPr>
              <w:spacing w:line="0" w:lineRule="atLeast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  <w:t>乡风文明</w:t>
            </w:r>
          </w:p>
        </w:tc>
        <w:tc>
          <w:tcPr>
            <w:tcW w:w="2552" w:type="dxa"/>
            <w:noWrap w:val="0"/>
            <w:vAlign w:val="center"/>
          </w:tcPr>
          <w:p>
            <w:pPr>
              <w:spacing w:line="0" w:lineRule="atLeast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新时代文明实践站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▲</w:t>
            </w:r>
          </w:p>
        </w:tc>
        <w:tc>
          <w:tcPr>
            <w:tcW w:w="1251" w:type="dxa"/>
            <w:noWrap w:val="0"/>
            <w:vAlign w:val="center"/>
          </w:tcPr>
          <w:p>
            <w:pPr>
              <w:spacing w:line="0" w:lineRule="atLeast"/>
              <w:jc w:val="center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△</w:t>
            </w:r>
          </w:p>
        </w:tc>
        <w:tc>
          <w:tcPr>
            <w:tcW w:w="4671" w:type="dxa"/>
            <w:noWrap w:val="0"/>
            <w:vAlign w:val="center"/>
          </w:tcPr>
          <w:p>
            <w:pPr>
              <w:spacing w:line="0" w:lineRule="atLeast"/>
              <w:jc w:val="left"/>
              <w:rPr>
                <w:rFonts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</w:rPr>
              <w:t>依据相关部门文件要求建设。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80" w:firstLineChars="200"/>
        <w:textAlignment w:val="auto"/>
        <w:rPr>
          <w:rFonts w:hint="eastAsia" w:ascii="方正黑体_GBK" w:hAnsi="方正黑体_GBK" w:eastAsia="方正黑体_GBK"/>
          <w:sz w:val="33"/>
          <w:szCs w:val="24"/>
        </w:rPr>
      </w:pPr>
      <w:r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  <w:t>注：▲为应配置的项目，△为根据实际情况按需配置的项目。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  <w:t>第四章</w:t>
      </w:r>
      <w:r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val="en-US" w:eastAsia="zh-CN"/>
        </w:rPr>
        <w:t xml:space="preserve">  </w:t>
      </w:r>
      <w:r>
        <w:rPr>
          <w:rFonts w:hint="eastAsia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  <w:t>规划布局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第一节</w:t>
      </w:r>
      <w:r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ab/>
      </w:r>
      <w:r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重点项目</w:t>
      </w:r>
    </w:p>
    <w:p>
      <w:pPr>
        <w:pStyle w:val="3"/>
        <w:keepNext w:val="0"/>
        <w:keepLines w:val="0"/>
        <w:pageBreakBefore w:val="0"/>
        <w:widowControl w:val="0"/>
        <w:tabs>
          <w:tab w:val="left" w:pos="1325"/>
        </w:tabs>
        <w:kinsoku w:val="0"/>
        <w:wordWrap/>
        <w:overflowPunct w:val="0"/>
        <w:topLinePunct w:val="0"/>
        <w:autoSpaceDE/>
        <w:autoSpaceDN/>
        <w:bidi w:val="0"/>
        <w:adjustRightInd/>
        <w:snapToGrid/>
        <w:spacing w:line="590" w:lineRule="exact"/>
        <w:ind w:firstLine="662" w:firstLineChars="200"/>
        <w:jc w:val="left"/>
        <w:textAlignment w:val="auto"/>
        <w:rPr>
          <w:rFonts w:hint="eastAsia" w:ascii="Times New Roman" w:hAnsi="Times New Roman" w:eastAsia="方正仿宋_GBK" w:cs="Times New Roman"/>
          <w:b w:val="0"/>
          <w:kern w:val="2"/>
          <w:sz w:val="33"/>
          <w:szCs w:val="33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3"/>
          <w:szCs w:val="33"/>
          <w:lang w:val="en-US" w:eastAsia="zh-CN" w:bidi="ar-SA"/>
        </w:rPr>
        <w:t>1.重点</w:t>
      </w:r>
      <w:r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3"/>
          <w:szCs w:val="33"/>
          <w:lang w:val="en-US" w:eastAsia="zh-CN" w:bidi="ar-SA"/>
        </w:rPr>
        <w:t>项目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方正仿宋_GBK" w:cs="Times New Roman"/>
          <w:b w:val="0"/>
          <w:kern w:val="2"/>
          <w:sz w:val="33"/>
          <w:szCs w:val="33"/>
          <w:lang w:val="en-US" w:eastAsia="zh-CN" w:bidi="ar-SA"/>
        </w:rPr>
        <w:t>在万善镇火车站广场附近新建1个综合文化中心。按省级示范性综合文化站建设标准，规划建设建筑面积约2000平方米的文化阵地，内设多功能活动室、展览室（陈列室）、培训室、信息资源共享室、阅览室、电影放映室、办公室等功能用房。打造万善镇特色街区对振兴路至万兴路总长860米街道进行风貌塑造和景观提升，着力打造万善城镇新名片。示范片建设，融入建</w:t>
      </w:r>
      <w:r>
        <w:rPr>
          <w:rFonts w:hint="eastAsia" w:ascii="Times New Roman" w:hAnsi="Times New Roman" w:eastAsia="方正仿宋_GBK" w:cs="Times New Roman"/>
          <w:b w:val="0"/>
          <w:kern w:val="2"/>
          <w:sz w:val="33"/>
          <w:szCs w:val="33"/>
          <w:lang w:val="en-US" w:eastAsia="zh-CN" w:bidi="ar-SA"/>
        </w:rPr>
        <w:t>设“华封—龙女—礼安”乡村振兴示范片。拓宽农民增收渠道，助力集体经济发展。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1325"/>
        </w:tabs>
        <w:kinsoku w:val="0"/>
        <w:wordWrap/>
        <w:overflowPunct w:val="0"/>
        <w:topLinePunct w:val="0"/>
        <w:autoSpaceDE/>
        <w:autoSpaceDN/>
        <w:bidi w:val="0"/>
        <w:adjustRightInd/>
        <w:snapToGrid/>
        <w:spacing w:line="590" w:lineRule="exact"/>
        <w:ind w:firstLine="660" w:firstLineChars="200"/>
        <w:jc w:val="left"/>
        <w:textAlignment w:val="auto"/>
        <w:rPr>
          <w:rFonts w:hint="default" w:ascii="Times New Roman" w:hAnsi="Times New Roman" w:eastAsia="方正仿宋_GBK" w:cs="Times New Roman"/>
          <w:b w:val="0"/>
          <w:kern w:val="2"/>
          <w:sz w:val="33"/>
          <w:szCs w:val="33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kern w:val="2"/>
          <w:sz w:val="33"/>
          <w:szCs w:val="33"/>
          <w:lang w:val="en-US" w:eastAsia="zh-CN" w:bidi="ar-SA"/>
        </w:rPr>
        <w:t>进一步开发利用宝箴塞古堡、古塞、古院落及中国传统村落——方家沟村文化底蕴浓厚，产业为根，文化铸魂，场景生花，形成集古堡观光、乡村休闲、特色餐饮、民宿体验和古建研学等五位一体的军事文化乡村旅游特色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 w:firstLineChars="200"/>
        <w:jc w:val="left"/>
        <w:textAlignment w:val="auto"/>
        <w:rPr>
          <w:rFonts w:hint="default" w:ascii="Times New Roman" w:hAnsi="Times New Roman" w:eastAsia="方正仿宋_GBK" w:cs="Times New Roman"/>
          <w:b w:val="0"/>
          <w:kern w:val="2"/>
          <w:sz w:val="33"/>
          <w:szCs w:val="33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kern w:val="2"/>
          <w:sz w:val="33"/>
          <w:szCs w:val="33"/>
          <w:lang w:val="en-US" w:eastAsia="zh-CN" w:bidi="ar-SA"/>
        </w:rPr>
        <w:t>利用乡镇文化底蕴，特别是飞来石村历史悠久，飞来石传说深入人心，有飞来石残片、灯台石、飞蛾石、石头房子、仙堡寨等景观，是集休闲度假、旅游观光、亲子采摘、游乐嬉戏于一体的乡村文化旅游宜居地。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2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3"/>
          <w:szCs w:val="33"/>
          <w:lang w:val="en-US" w:eastAsia="zh-CN" w:bidi="ar-SA"/>
        </w:rPr>
        <w:t>2.健全公共服务体系项目。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新建、改造升级53个应急广播系统，改建多功能运动场53个，新建固定放映点4个，新建广播电视公共服务村级代办点15个，新建乡镇博物馆（陈列室）4个，改建新时代文明实践所4个，改建新时代文明实践站52个。聚焦群众关心的服务效率问题，提供便民惠民的优质服务，更好满足人民群众视听生活新需求。打造公共文化新阵地，构建形成覆盖城乡、功能齐备的现代公共文化服务体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2" w:firstLineChars="200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3"/>
          <w:szCs w:val="33"/>
          <w:lang w:val="en-US" w:eastAsia="zh-CN" w:bidi="ar-SA"/>
        </w:rPr>
        <w:t>3.文</w:t>
      </w: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3"/>
          <w:szCs w:val="33"/>
          <w:lang w:val="en-US" w:eastAsia="zh-CN" w:bidi="ar-SA"/>
        </w:rPr>
        <w:t>化遗产</w:t>
      </w:r>
      <w:r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3"/>
          <w:szCs w:val="33"/>
          <w:lang w:val="en-US" w:eastAsia="zh-CN" w:bidi="ar-SA"/>
        </w:rPr>
        <w:t>保护利用</w:t>
      </w: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3"/>
          <w:szCs w:val="33"/>
          <w:lang w:val="en-US" w:eastAsia="zh-CN" w:bidi="ar-SA"/>
        </w:rPr>
        <w:t>。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国家4A级景区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宝箴塞镇位于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该镇，属全国重点文物保护单位，始建于公元1911年（清宣统三年），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至今已有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110余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年历史。系当地豪门段氏家族为避战乱而修建的集军事防御、生活起居于一体的全封闭式川东民居建筑群。依山而建，闽南团城建筑风格，有江南民居特色。房屋设计精巧，重叠有序，古色古香，独具特色。宝箴塞突出传统的关隘山寨建筑的地形特点，其防御工事借鉴传统的山寨建筑之长，融碉楼、城堡和闽南地区团城建筑风格为一体，形成了全封闭式防御体系，被中国古建筑专家组组长罗哲文誉为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“全国罕有，蜀中一绝”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。中国传统村落——方家沟村，文化底蕴浓厚，产业为根，文化铸魂，场景生花，形成集古堡观光、乡村休闲、特色餐饮、民宿体验和古建研学等五位一体的军事文化乡村旅游特色镇。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武胜7002井，是中国在世界上引为骄傲的中国第一深井，它是</w:t>
      </w:r>
      <w:r>
        <w:rPr>
          <w:rFonts w:hint="eastAsia" w:ascii="方正仿宋_GBK" w:hAnsi="方正仿宋_GBK" w:eastAsia="方正仿宋_GBK" w:cs="方正仿宋_GBK"/>
          <w:sz w:val="33"/>
          <w:szCs w:val="33"/>
          <w:lang w:val="en-US" w:eastAsia="zh-CN"/>
        </w:rPr>
        <w:t>“超英、赶美、追苏联”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的时代产物。因为苏联人曾经打下了钻井进尺7000米号称世界的第一深井，为了追上它，我国曾打了一口希望进尺7001米的7001井，结果报废，所以又重振雄风打武胜7002井，命名为7002井，以期超过苏联。武胜7002井所处的地理位置，非常特殊，它</w:t>
      </w:r>
      <w:r>
        <w:rPr>
          <w:rFonts w:hint="eastAsia" w:ascii="方正仿宋_GBK" w:hAnsi="方正仿宋_GBK" w:eastAsia="方正仿宋_GBK" w:cs="方正仿宋_GBK"/>
          <w:sz w:val="33"/>
          <w:szCs w:val="33"/>
          <w:lang w:val="en-US" w:eastAsia="zh-CN"/>
        </w:rPr>
        <w:t>位于“四川东部地台区”内，“川中台坳”下属的“川中台拱”中次一级构造“龙女寺穹窿构造”单元，它占有“川中台拱”的北东部及“台拱”大部。它的构造特点，是由“龙女寺环状构造”，“巴中——仪陇莲花状构造”和“中台山半环状构造”所组成，其中以龙女寺环状构造规模最大，占有本构造面积的一半，跨渠县、南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充、武胜、遂宁、安岳和铜梁等县，主要由十几个弧形和平缓褶皱所组成，生成时代为燕山运动末期，卷入地层有侏罗系。这里是全川地壳厚度最薄的地方，大部不到40公里，内江、大足一带不足37公里，而武胜万善镇旗井村的地壳厚度仅为13公里，是四川地壳最薄点，壳下隆起最高点，因此，中国第一深井诞生在武胜，就成为顺理成章之举了。1999年8月14日至16日，到武胜实地踏勘武胜旅游资源的四川省地矿厅、四川现代旅游工程研究所、广安市旅游总体规划专家组组长陈茂勋教授就对武胜7002井高度评价说：“武胜7002井是中国人在世界上引为骄傲的中国油气勘探第一深井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武胜7002井，井径2米多，深6011米，故也称6011井，是四川最全，最完整地壳结构的反映。它证实的地壳莫霍面武胜13公里，目前只打了6公里多，是研究地层和地震、找油和找气的参照井，故又称为龙女基准井。它的重要性，它的了不起，在于全川、全国，大陆、海洋的井，都要以此为参照。通过这口井，我们就了解到四川有18个层位可以开采天然气，每层500～1000米不等，而目前只开采了2～3个层位。除天然气外，盐卤、黑卤、黄卤也较多。所以，国土资源部成都研究所、四川现代旅游研究所、广安市旅游总体规划专家组成员饶荣标研究员评论说：“武胜拥有这口重要的、了不起的基准井，武胜了不起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国营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157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厂旧址，主要生产坦克和航空所用的各类军用玻璃、部分民用玻璃，最值得骄傲的便是参与毛主席水晶棺的研制，获得国家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“攻关金奖”，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旧址现存完好，吸引不少学者走进龙女，追寻它辉煌的过去。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武胜牛皮鼓制作技艺是四川民间传统制鼓技艺的重要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组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成部分，现存的纯手工制鼓艺人已寥寥无几。武胜牛皮鼓制作技艺融合了当地传统音乐的发展和工匠精神的传承，其传承与发展历史折射了当地传统音乐发展的状况、特色民俗的特征，具有不可替代的民俗文化研究价值。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要不断加大武胜牛皮鼓制作技艺的投入和宣传力度，不断扩大其影响力。鼓励非遗传承人的新生产技术和手段，不断提高产品质量；广泛利用淘宝、天猫、抖音等网络电商平台拓展产品销售渠道，增加销量。设立集制作、展示、销售于一体的武胜牛皮鼓制作非遗工坊，让牛皮鼓制作实现规模化生产，把此项非遗项目做大、做强、做活，带动周边群众就业致富，助推乡村振兴，保护传承非遗技艺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</w:pPr>
      <w:r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第</w:t>
      </w:r>
      <w:r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二</w:t>
      </w:r>
      <w:r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节  重要活动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2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 w:val="0"/>
          <w:sz w:val="33"/>
          <w:szCs w:val="33"/>
          <w:lang w:val="en-US" w:eastAsia="zh-CN"/>
        </w:rPr>
        <w:t>1.新时代文明实践示范活动</w:t>
      </w:r>
      <w:r>
        <w:rPr>
          <w:rFonts w:hint="eastAsia" w:ascii="Times New Roman" w:hAnsi="Times New Roman" w:eastAsia="方正仿宋_GBK" w:cs="Times New Roman"/>
          <w:b/>
          <w:bCs w:val="0"/>
          <w:sz w:val="33"/>
          <w:szCs w:val="33"/>
          <w:lang w:val="en-US" w:eastAsia="zh-CN"/>
        </w:rPr>
        <w:t>。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以宝箴塞镇为中心，建设万善农业物流片区新时代文明实践站，统筹全县理论宣讲、教育服务、文化服务、科技科普、健身体育等志愿服务力量，开展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“我们的节日”“学雷锋”“关爱空巢老人、留守儿童”等主题活动，开展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送政策、送温暖、送服务、倡导文明行为、评社会公德等活动。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2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 w:val="0"/>
          <w:kern w:val="2"/>
          <w:sz w:val="33"/>
          <w:szCs w:val="33"/>
          <w:lang w:val="en-US" w:eastAsia="zh-CN" w:bidi="ar-SA"/>
        </w:rPr>
        <w:t>2.文化惠民服务活动</w:t>
      </w:r>
      <w:r>
        <w:rPr>
          <w:rFonts w:hint="eastAsia" w:ascii="Times New Roman" w:hAnsi="Times New Roman" w:eastAsia="方正仿宋_GBK" w:cs="Times New Roman"/>
          <w:b/>
          <w:bCs w:val="0"/>
          <w:kern w:val="2"/>
          <w:sz w:val="33"/>
          <w:szCs w:val="33"/>
          <w:lang w:val="en-US" w:eastAsia="zh-CN" w:bidi="ar-SA"/>
        </w:rPr>
        <w:t>。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以宝箴塞镇、龙女镇、万隆镇、万善镇为中心，大力培育乡村文化能人和群众文艺团队，打造群众身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边“不走的文化队伍”。举办欢乐农家大赛、讲好片区故事、“百姓大舞台·有艺你就来”——文化惠民走基层活动。举办文化、科技、卫生、法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律、等下乡活动。群众文化活动每年不少于10场次，开展送春联、送福字、拍摄全家福等文化活动不少于5场次。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opLinePunct w:val="0"/>
        <w:autoSpaceDE/>
        <w:autoSpaceDN/>
        <w:bidi w:val="0"/>
        <w:spacing w:line="590" w:lineRule="exact"/>
        <w:ind w:firstLine="662" w:firstLineChars="200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 w:val="0"/>
          <w:kern w:val="2"/>
          <w:sz w:val="33"/>
          <w:szCs w:val="33"/>
          <w:lang w:val="en-US" w:eastAsia="zh-CN" w:bidi="ar-SA"/>
        </w:rPr>
        <w:t>3.民俗</w:t>
      </w:r>
      <w:r>
        <w:rPr>
          <w:rFonts w:hint="eastAsia" w:ascii="Times New Roman" w:hAnsi="Times New Roman" w:eastAsia="方正仿宋_GBK" w:cs="Times New Roman"/>
          <w:b/>
          <w:bCs w:val="0"/>
          <w:kern w:val="2"/>
          <w:sz w:val="33"/>
          <w:szCs w:val="33"/>
          <w:lang w:val="en-US" w:eastAsia="zh-CN" w:bidi="ar-SA"/>
        </w:rPr>
        <w:t>文化</w:t>
      </w:r>
      <w:r>
        <w:rPr>
          <w:rFonts w:hint="default" w:ascii="Times New Roman" w:hAnsi="Times New Roman" w:eastAsia="方正仿宋_GBK" w:cs="Times New Roman"/>
          <w:b/>
          <w:bCs w:val="0"/>
          <w:kern w:val="2"/>
          <w:sz w:val="33"/>
          <w:szCs w:val="33"/>
          <w:lang w:val="en-US" w:eastAsia="zh-CN" w:bidi="ar-SA"/>
        </w:rPr>
        <w:t>展示活动</w:t>
      </w:r>
      <w:r>
        <w:rPr>
          <w:rFonts w:hint="eastAsia" w:ascii="Times New Roman" w:hAnsi="Times New Roman" w:eastAsia="方正仿宋_GBK" w:cs="Times New Roman"/>
          <w:b/>
          <w:bCs w:val="0"/>
          <w:kern w:val="2"/>
          <w:sz w:val="33"/>
          <w:szCs w:val="33"/>
          <w:lang w:val="en-US" w:eastAsia="zh-CN" w:bidi="ar-SA"/>
        </w:rPr>
        <w:t>。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在春节、元宵节、端午节、中秋节等中国传统节日开展本地非遗民俗文化体验展示活动，对片区板凳龙、龙舟、竹编、剪纸、嘉陵江船工号子、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庖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汤等项目进行现场展演展示，让群众亲身感受优秀传统文化的魅力。加强对物质和非物质文化遗产保护传承法律法规及相关知识的宣传，营造良好的文化遗产保护氛围。</w:t>
      </w:r>
    </w:p>
    <w:p>
      <w:pPr>
        <w:pStyle w:val="2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pStyle w:val="2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</w:pPr>
      <w:r>
        <w:rPr>
          <w:rFonts w:hint="default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  <w:t>第五章</w:t>
      </w:r>
      <w:r>
        <w:rPr>
          <w:rFonts w:hint="default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  <w:tab/>
      </w:r>
      <w:r>
        <w:rPr>
          <w:rFonts w:hint="default" w:ascii="方正黑体_GBK" w:hAnsi="方正黑体_GBK" w:eastAsia="方正黑体_GBK" w:cs="方正黑体_GBK"/>
          <w:b w:val="0"/>
          <w:bCs w:val="0"/>
          <w:sz w:val="33"/>
          <w:szCs w:val="33"/>
          <w:lang w:eastAsia="zh-CN"/>
        </w:rPr>
        <w:t>保障措施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</w:pPr>
      <w:r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第一节</w:t>
      </w:r>
      <w:r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ab/>
      </w:r>
      <w:r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强化政策配套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590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3"/>
          <w:szCs w:val="33"/>
          <w:lang w:val="en-US" w:eastAsia="zh-CN"/>
        </w:rPr>
        <w:t>建立健全文化基础设施建设优惠政策，探索实施免费提供文化设施建设用地或减收土地租金、减免建设中的各项税费等机制。出台鼓励社会资本对文化基础设施投入的优惠政策，进一步拓宽文化基础设施建设经费来源，调动社会力量参与基层文化设施建设的积极性，鼓励社会力量赞助、捐赠文化设施支持社会文化事业发展，逐步形成以政府投入为主导，社会投入为补充的多渠道投入机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</w:pPr>
      <w:r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第二节</w:t>
      </w:r>
      <w:r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 xml:space="preserve">  </w:t>
      </w:r>
      <w:r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强化资金保障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/>
        <w:jc w:val="left"/>
        <w:textAlignment w:val="auto"/>
        <w:rPr>
          <w:rFonts w:hint="eastAsia" w:ascii="Times New Roman" w:hAnsi="Times New Roman" w:eastAsia="方正仿宋_GBK" w:cs="Times New Roman"/>
          <w:color w:val="auto"/>
          <w:kern w:val="0"/>
          <w:sz w:val="33"/>
          <w:szCs w:val="33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kern w:val="0"/>
          <w:sz w:val="33"/>
          <w:szCs w:val="33"/>
          <w:lang w:val="en-US" w:eastAsia="zh-CN"/>
        </w:rPr>
        <w:t>加强公共文化设施的财力保障，通过向上争取专项资金方式，建立公共文化设施建设维护专项资金，纳入地方财政年度支出预算，并根据经济增长情况，按比例逐年增加资金预算，持续加大投入力度。加大资金向中心镇村投入比重，适当予以倾斜，强化示范带动作用，提高资金使用效率，增强辐射和服务效能。由县级文化主管部门牵头，建立公共文化设施台账及重点项目库，项目多向中心镇、村（社区）和特色文化镇、村（社区）倾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/>
        <w:jc w:val="center"/>
        <w:textAlignment w:val="auto"/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</w:pPr>
      <w:r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第三节</w:t>
      </w:r>
      <w:r>
        <w:rPr>
          <w:rFonts w:hint="eastAsia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 xml:space="preserve">  </w:t>
      </w:r>
      <w:r>
        <w:rPr>
          <w:rFonts w:hint="default" w:ascii="方正楷体_GBK" w:hAnsi="方正楷体_GBK" w:eastAsia="方正楷体_GBK" w:cs="方正楷体_GBK"/>
          <w:b/>
          <w:bCs/>
          <w:sz w:val="33"/>
          <w:szCs w:val="33"/>
          <w:lang w:val="en-US" w:eastAsia="zh-CN"/>
        </w:rPr>
        <w:t>强化队伍建设</w:t>
      </w:r>
    </w:p>
    <w:p>
      <w:pPr>
        <w:keepNext w:val="0"/>
        <w:keepLines w:val="0"/>
        <w:pageBreakBefore w:val="0"/>
        <w:widowControl w:val="0"/>
        <w:topLinePunct w:val="0"/>
        <w:autoSpaceDE/>
        <w:autoSpaceDN/>
        <w:bidi w:val="0"/>
        <w:spacing w:line="590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配齐建强基层公共文化设施管理服务人员队伍。在现有编制总量内，落实每个乡镇综合文化站（中心）编制配备不少于1至2名的要求，规模较大的乡镇适当增加；村（社区）综合性文化服务中心</w:t>
      </w:r>
      <w:r>
        <w:rPr>
          <w:rFonts w:hint="eastAsia" w:ascii="方正仿宋_GBK" w:hAnsi="方正仿宋_GBK" w:eastAsia="方正仿宋_GBK" w:cs="方正仿宋_GBK"/>
          <w:kern w:val="2"/>
          <w:sz w:val="33"/>
          <w:szCs w:val="33"/>
          <w:lang w:val="en-US" w:eastAsia="zh-CN" w:bidi="ar-SA"/>
        </w:rPr>
        <w:t>由村（社区）“两委”确定</w:t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1名兼职工作人员，同时通过县、乡两级统筹和购买服务等方式解决人员不足问题。强化队伍能力素质提升，围绕公共文化事业发展新需求，以守牢阵地、活化利用、不断挖潜为核心，采取线上线下培训的方式，重点在增强数字化服务、信息宣传和基层业务方面，持续增强管理服务人员的公共文化服务能力和素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opLinePunct w:val="0"/>
        <w:autoSpaceDE/>
        <w:autoSpaceDN/>
        <w:bidi w:val="0"/>
        <w:spacing w:line="590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opLinePunct w:val="0"/>
        <w:autoSpaceDE/>
        <w:autoSpaceDN/>
        <w:bidi w:val="0"/>
        <w:spacing w:line="590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附件：万善农业物流片区文化发展重点规划项目</w:t>
      </w:r>
    </w:p>
    <w:p>
      <w:pPr>
        <w:pStyle w:val="7"/>
        <w:keepNext w:val="0"/>
        <w:keepLines w:val="0"/>
        <w:pageBreakBefore w:val="0"/>
        <w:widowControl w:val="0"/>
        <w:wordWrap w:val="0"/>
        <w:topLinePunct w:val="0"/>
        <w:autoSpaceDE/>
        <w:autoSpaceDN/>
        <w:bidi w:val="0"/>
        <w:spacing w:before="0" w:line="590" w:lineRule="exact"/>
        <w:ind w:left="0" w:firstLine="330"/>
        <w:jc w:val="right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bidi="ar-SA"/>
        </w:rPr>
        <w:sectPr>
          <w:footerReference r:id="rId3" w:type="default"/>
          <w:pgSz w:w="11906" w:h="16838"/>
          <w:pgMar w:top="2041" w:right="1531" w:bottom="1701" w:left="1531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bidi="ar-SA"/>
        </w:rPr>
        <w:t xml:space="preserve"> </w:t>
      </w:r>
    </w:p>
    <w:p>
      <w:pPr>
        <w:jc w:val="left"/>
        <w:outlineLvl w:val="1"/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3"/>
          <w:szCs w:val="33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3"/>
          <w:szCs w:val="33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outlineLvl w:val="1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t>万善农业物流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</w:rPr>
        <w:t>片区文化发展重点规划项目</w:t>
      </w:r>
    </w:p>
    <w:p>
      <w:pPr>
        <w:widowControl/>
        <w:spacing w:line="360" w:lineRule="auto"/>
        <w:ind w:firstLine="210" w:firstLineChars="100"/>
        <w:jc w:val="both"/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en-US" w:eastAsia="zh-CN" w:bidi="ar-SA"/>
        </w:rPr>
      </w:pPr>
    </w:p>
    <w:tbl>
      <w:tblPr>
        <w:tblStyle w:val="8"/>
        <w:tblW w:w="13760" w:type="dxa"/>
        <w:tblInd w:w="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"/>
        <w:gridCol w:w="1488"/>
        <w:gridCol w:w="1890"/>
        <w:gridCol w:w="672"/>
        <w:gridCol w:w="3629"/>
        <w:gridCol w:w="1155"/>
        <w:gridCol w:w="1065"/>
        <w:gridCol w:w="222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  <w:t>序号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18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  <w:t>建设地址</w:t>
            </w:r>
          </w:p>
        </w:tc>
        <w:tc>
          <w:tcPr>
            <w:tcW w:w="6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  <w:t>建设性质</w:t>
            </w:r>
          </w:p>
        </w:tc>
        <w:tc>
          <w:tcPr>
            <w:tcW w:w="36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  <w:t>建设内容及规模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  <w:t>建设年限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  <w:t>（</w:t>
            </w: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万</w:t>
            </w: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  <w:t>元）</w:t>
            </w:r>
          </w:p>
        </w:tc>
        <w:tc>
          <w:tcPr>
            <w:tcW w:w="22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  <w:t>项目业主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  <w:t>主管部门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8182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  <w:t>总计（</w:t>
            </w:r>
            <w:r>
              <w:rPr>
                <w:rFonts w:hint="eastAsia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8</w:t>
            </w:r>
            <w:r>
              <w:rPr>
                <w:rFonts w:hint="default" w:ascii="Times New Roman" w:hAnsi="Times New Roman" w:eastAsia="方正楷体_GBK" w:cs="Times New Roman"/>
                <w:b/>
                <w:bCs/>
                <w:color w:val="auto"/>
                <w:kern w:val="0"/>
                <w:sz w:val="22"/>
                <w:szCs w:val="22"/>
              </w:rPr>
              <w:t>个项目）</w:t>
            </w:r>
          </w:p>
        </w:tc>
        <w:tc>
          <w:tcPr>
            <w:tcW w:w="1155" w:type="dxa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color w:val="auto"/>
                <w:sz w:val="22"/>
                <w:szCs w:val="22"/>
                <w:lang w:val="en-US" w:eastAsia="zh-CN"/>
              </w:rPr>
              <w:t>1880</w:t>
            </w:r>
          </w:p>
        </w:tc>
        <w:tc>
          <w:tcPr>
            <w:tcW w:w="2224" w:type="dxa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5" w:hRule="atLeast"/>
        </w:trPr>
        <w:tc>
          <w:tcPr>
            <w:tcW w:w="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kern w:val="0"/>
                <w:sz w:val="20"/>
                <w:szCs w:val="20"/>
              </w:rPr>
              <w:t>1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乡镇健身中心</w:t>
            </w:r>
          </w:p>
        </w:tc>
        <w:tc>
          <w:tcPr>
            <w:tcW w:w="18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万善镇</w:t>
            </w:r>
          </w:p>
        </w:tc>
        <w:tc>
          <w:tcPr>
            <w:tcW w:w="6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新建</w:t>
            </w:r>
          </w:p>
        </w:tc>
        <w:tc>
          <w:tcPr>
            <w:tcW w:w="36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≥2000平方米（含室内≥150 平方米），可由2处健身场地的面积相加构成。可与室外文化活动广场相结合，可配置篮球、气排球、羽毛球、乒乓球、笼式足球、健身路径等场地设施，可重叠画线满足4种以上健身项目使用；室内健身场地可与多功能活动室结合，可配置室内球类运动设施、棋牌类设施、健身器械等。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2022-2028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500</w:t>
            </w:r>
          </w:p>
        </w:tc>
        <w:tc>
          <w:tcPr>
            <w:tcW w:w="22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万善镇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县教科体局等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</w:trPr>
        <w:tc>
          <w:tcPr>
            <w:tcW w:w="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kern w:val="0"/>
                <w:sz w:val="20"/>
                <w:szCs w:val="20"/>
              </w:rPr>
              <w:t>2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乡镇综合文化中心</w:t>
            </w:r>
          </w:p>
        </w:tc>
        <w:tc>
          <w:tcPr>
            <w:tcW w:w="18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万善镇</w:t>
            </w:r>
          </w:p>
        </w:tc>
        <w:tc>
          <w:tcPr>
            <w:tcW w:w="6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新建</w:t>
            </w:r>
          </w:p>
        </w:tc>
        <w:tc>
          <w:tcPr>
            <w:tcW w:w="36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规划建设建筑面积约2000平方米的文化阵地，内设多功能活动室、展览室（陈列室）、培训室、信息资源共享室、阅览室、电影放映室、办公室等功能用房。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2022-2027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50</w:t>
            </w:r>
          </w:p>
        </w:tc>
        <w:tc>
          <w:tcPr>
            <w:tcW w:w="22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万善镇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宣传部、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县文广旅局等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乡镇博物馆</w:t>
            </w:r>
          </w:p>
        </w:tc>
        <w:tc>
          <w:tcPr>
            <w:tcW w:w="18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万善镇</w:t>
            </w:r>
          </w:p>
        </w:tc>
        <w:tc>
          <w:tcPr>
            <w:tcW w:w="6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新建</w:t>
            </w:r>
          </w:p>
        </w:tc>
        <w:tc>
          <w:tcPr>
            <w:tcW w:w="36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展览面积不低于100平方米，展品（藏品）不低于100件。充分利用已收集或易于收集的本地历史见证物、文献文书、生产生活物品、农业手工业产品、习俗和节庆资料，围绕村史沿革、村规民约、民俗风情、乡贤名人、家风家训、发展成就等，举办主题鲜明、各具特色、内涵丰富的陈列展览。馆舍大小、规模以满足展品安全和展陈需要为宜；展馆及相应设施应安装防雷、防火、防盗等技防设施，制定各类防灾预案，并设置防灾指示标志。可与社会力量共建。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2022-2035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200</w:t>
            </w:r>
          </w:p>
        </w:tc>
        <w:tc>
          <w:tcPr>
            <w:tcW w:w="22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万善镇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县文广旅局等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县级图书分馆</w:t>
            </w:r>
          </w:p>
        </w:tc>
        <w:tc>
          <w:tcPr>
            <w:tcW w:w="18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万善镇</w:t>
            </w:r>
          </w:p>
        </w:tc>
        <w:tc>
          <w:tcPr>
            <w:tcW w:w="6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新建</w:t>
            </w:r>
          </w:p>
        </w:tc>
        <w:tc>
          <w:tcPr>
            <w:tcW w:w="36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面积应达到30平方米，有互联网、WiFi全覆盖，有专人管理分馆工作，采购电脑5台，图书1万册，阅览桌椅40套，进行图书数据加工及分馆数字化建设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2022-2027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30</w:t>
            </w:r>
          </w:p>
        </w:tc>
        <w:tc>
          <w:tcPr>
            <w:tcW w:w="22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万善镇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县文广旅局等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3" w:hRule="atLeast"/>
        </w:trPr>
        <w:tc>
          <w:tcPr>
            <w:tcW w:w="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乡镇综合文化中心</w:t>
            </w:r>
          </w:p>
        </w:tc>
        <w:tc>
          <w:tcPr>
            <w:tcW w:w="18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宝箴塞镇</w:t>
            </w:r>
          </w:p>
        </w:tc>
        <w:tc>
          <w:tcPr>
            <w:tcW w:w="6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新建</w:t>
            </w:r>
          </w:p>
        </w:tc>
        <w:tc>
          <w:tcPr>
            <w:tcW w:w="36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利用50亩场镇已征用土地，新建文体广场，面积约3000平方米。配置篮球、乒乓球、羽毛球健身等体育设施。结合文体广场建设项目面积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≧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500平方米，内设多功能活动室、培训室、电子阅览室、假日学校、固定电影放映点、新时代文明实践所、县级文化馆图书分馆（图书阅览室）、广播站（广播电视公共服务网点）等功能用房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2023-2025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600</w:t>
            </w:r>
          </w:p>
        </w:tc>
        <w:tc>
          <w:tcPr>
            <w:tcW w:w="22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宝箴塞镇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县文广旅局</w:t>
            </w:r>
            <w:r>
              <w:rPr>
                <w:rFonts w:hint="eastAsia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、县教科体局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3" w:hRule="atLeast"/>
        </w:trPr>
        <w:tc>
          <w:tcPr>
            <w:tcW w:w="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打造宝箴塞镇古建研学等五位一体的军事文化乡村旅游特色镇</w:t>
            </w:r>
          </w:p>
        </w:tc>
        <w:tc>
          <w:tcPr>
            <w:tcW w:w="18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宝箴塞镇</w:t>
            </w:r>
          </w:p>
        </w:tc>
        <w:tc>
          <w:tcPr>
            <w:tcW w:w="6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改建</w:t>
            </w:r>
          </w:p>
        </w:tc>
        <w:tc>
          <w:tcPr>
            <w:tcW w:w="36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建设约2.6万平方米，集历史文化、特色建筑、特色展示、村规民约、民俗风情、乡贤名人、家风家训、发展成就等古建研学等五位一体的军事文化乡村旅游特色镇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2022-2035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200</w:t>
            </w:r>
          </w:p>
        </w:tc>
        <w:tc>
          <w:tcPr>
            <w:tcW w:w="22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宝箴塞镇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县住建局等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</w:trPr>
        <w:tc>
          <w:tcPr>
            <w:tcW w:w="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万隆镇乡村文化旅游基地</w:t>
            </w:r>
          </w:p>
        </w:tc>
        <w:tc>
          <w:tcPr>
            <w:tcW w:w="18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万隆镇</w:t>
            </w:r>
          </w:p>
        </w:tc>
        <w:tc>
          <w:tcPr>
            <w:tcW w:w="6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新建</w:t>
            </w:r>
          </w:p>
        </w:tc>
        <w:tc>
          <w:tcPr>
            <w:tcW w:w="36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建设约2万平方米，设置停车场和步道建设标牌、 路线指引等，结合乡村观光项目，打造连线连片文化旅游线路。集休闲度假、旅游观光、亲子采摘、游乐嬉戏为一体的乡村文化旅游基地。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2022-2035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200</w:t>
            </w:r>
          </w:p>
        </w:tc>
        <w:tc>
          <w:tcPr>
            <w:tcW w:w="22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万隆镇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县住建局等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ins w:id="0" w:author="陈天珍" w:date="2023-06-26T17:33:31Z"/>
        </w:trPr>
        <w:tc>
          <w:tcPr>
            <w:tcW w:w="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ins w:id="1" w:author="陈天珍" w:date="2023-06-26T17:33:31Z"/>
                <w:rFonts w:hint="default" w:ascii="Times New Roman" w:hAnsi="Times New Roman" w:eastAsia="方正仿宋_GBK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ins w:id="2" w:author="陈天珍" w:date="2023-06-26T17:33:31Z"/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古镇、军工文化旅游基地。</w:t>
            </w:r>
          </w:p>
        </w:tc>
        <w:tc>
          <w:tcPr>
            <w:tcW w:w="18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ins w:id="3" w:author="陈天珍" w:date="2023-06-26T17:33:31Z"/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龙女镇</w:t>
            </w:r>
          </w:p>
        </w:tc>
        <w:tc>
          <w:tcPr>
            <w:tcW w:w="6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ins w:id="4" w:author="陈天珍" w:date="2023-06-26T17:33:31Z"/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改建</w:t>
            </w:r>
          </w:p>
        </w:tc>
        <w:tc>
          <w:tcPr>
            <w:tcW w:w="36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ins w:id="5" w:author="陈天珍" w:date="2023-06-26T17:33:31Z"/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建设约2.8万平方米，利用龙女镇157厂等三线军工厂房遗址、小河村传统村落、龙女码头、芋子溪村吊船坡（嘉陵江船工号子）等原有基础，组织专业人员充分挖掘文化资源，配合龙女镇现有农业产业，发展龙女镇三线军工文化旅游。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ins w:id="6" w:author="陈天珍" w:date="2023-06-26T17:33:31Z"/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2022-2030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ins w:id="7" w:author="陈天珍" w:date="2023-06-26T17:33:31Z"/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100</w:t>
            </w:r>
          </w:p>
        </w:tc>
        <w:tc>
          <w:tcPr>
            <w:tcW w:w="22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ins w:id="8" w:author="陈天珍" w:date="2023-06-26T17:33:31Z"/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龙女镇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ins w:id="9" w:author="陈天珍" w:date="2023-06-26T17:33:31Z"/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县住建局等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90" w:lineRule="exact"/>
        <w:textAlignment w:val="auto"/>
        <w:rPr>
          <w:rFonts w:hint="default" w:ascii="仿宋" w:hAnsi="仿宋" w:eastAsia="仿宋" w:cs="仿宋"/>
          <w:b/>
          <w:bCs w:val="0"/>
          <w:sz w:val="32"/>
          <w:szCs w:val="32"/>
          <w:lang w:val="en-US" w:eastAsia="zh-CN"/>
        </w:rPr>
      </w:pPr>
    </w:p>
    <w:sectPr>
      <w:footerReference r:id="rId4" w:type="default"/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PMingLiU">
    <w:altName w:val="Droid Sans Fallback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420" w:leftChars="200" w:right="420" w:rightChars="200"/>
      <w:rPr>
        <w:rFonts w:ascii="Times New Roman" w:hAnsi="Times New Roman" w:cs="Times New Roman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ind w:left="420" w:leftChars="200" w:right="420" w:rightChars="200"/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gF26zFQIAABk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ind w:left="420" w:leftChars="200" w:right="420" w:rightChars="200"/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8280" w:firstLineChars="4600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CYa0m4aAgAAKQ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陈天珍">
    <w15:presenceInfo w15:providerId="None" w15:userId="陈天珍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4ZTI4MTg1YTdiM2YwNzI2NGVhYTkzZDYzZmU2ZWYifQ=="/>
  </w:docVars>
  <w:rsids>
    <w:rsidRoot w:val="00000000"/>
    <w:rsid w:val="031E75D5"/>
    <w:rsid w:val="04102890"/>
    <w:rsid w:val="043F0BEF"/>
    <w:rsid w:val="045B39AD"/>
    <w:rsid w:val="05931970"/>
    <w:rsid w:val="08DD4532"/>
    <w:rsid w:val="09507D38"/>
    <w:rsid w:val="0D9755F8"/>
    <w:rsid w:val="0F9A4024"/>
    <w:rsid w:val="0FD35EED"/>
    <w:rsid w:val="10014AB5"/>
    <w:rsid w:val="15673B02"/>
    <w:rsid w:val="157E2FE7"/>
    <w:rsid w:val="15EE5FD1"/>
    <w:rsid w:val="15F12240"/>
    <w:rsid w:val="16026A2A"/>
    <w:rsid w:val="18043F40"/>
    <w:rsid w:val="189D4A97"/>
    <w:rsid w:val="18F7519C"/>
    <w:rsid w:val="19F4015B"/>
    <w:rsid w:val="19FE1A76"/>
    <w:rsid w:val="1ABD08BD"/>
    <w:rsid w:val="1B686481"/>
    <w:rsid w:val="1C0C1291"/>
    <w:rsid w:val="1CC505AE"/>
    <w:rsid w:val="1DB90482"/>
    <w:rsid w:val="1E3C103D"/>
    <w:rsid w:val="1EA146ED"/>
    <w:rsid w:val="1FA854C5"/>
    <w:rsid w:val="211756BD"/>
    <w:rsid w:val="220E2CF0"/>
    <w:rsid w:val="25610A8D"/>
    <w:rsid w:val="25D7575A"/>
    <w:rsid w:val="27360A20"/>
    <w:rsid w:val="273C17A5"/>
    <w:rsid w:val="279544FE"/>
    <w:rsid w:val="289B39D4"/>
    <w:rsid w:val="2AEA3123"/>
    <w:rsid w:val="2B1B499D"/>
    <w:rsid w:val="2B1D7F41"/>
    <w:rsid w:val="2C310A69"/>
    <w:rsid w:val="2D576FDC"/>
    <w:rsid w:val="2DC132D6"/>
    <w:rsid w:val="2E8118B4"/>
    <w:rsid w:val="2F603644"/>
    <w:rsid w:val="326C4F69"/>
    <w:rsid w:val="326F1C1C"/>
    <w:rsid w:val="32E21235"/>
    <w:rsid w:val="3353652F"/>
    <w:rsid w:val="36FF6646"/>
    <w:rsid w:val="374C59AF"/>
    <w:rsid w:val="37866434"/>
    <w:rsid w:val="37FC3E6E"/>
    <w:rsid w:val="389A2AB0"/>
    <w:rsid w:val="38DF2313"/>
    <w:rsid w:val="393F1821"/>
    <w:rsid w:val="39EF44C9"/>
    <w:rsid w:val="3A65262D"/>
    <w:rsid w:val="3AEF7B27"/>
    <w:rsid w:val="3C7F0DD2"/>
    <w:rsid w:val="3CF66243"/>
    <w:rsid w:val="3DAB4624"/>
    <w:rsid w:val="3E663450"/>
    <w:rsid w:val="40186C41"/>
    <w:rsid w:val="404171CE"/>
    <w:rsid w:val="4107750F"/>
    <w:rsid w:val="41954D57"/>
    <w:rsid w:val="43252FE6"/>
    <w:rsid w:val="45F85EB1"/>
    <w:rsid w:val="46E82445"/>
    <w:rsid w:val="483700A6"/>
    <w:rsid w:val="48474FD5"/>
    <w:rsid w:val="49400803"/>
    <w:rsid w:val="49C82745"/>
    <w:rsid w:val="4AFE6C40"/>
    <w:rsid w:val="4B90012A"/>
    <w:rsid w:val="4C31197A"/>
    <w:rsid w:val="4C6E37C0"/>
    <w:rsid w:val="4C9A2788"/>
    <w:rsid w:val="4CC624B4"/>
    <w:rsid w:val="4D032986"/>
    <w:rsid w:val="4DA63CEE"/>
    <w:rsid w:val="4EFC2305"/>
    <w:rsid w:val="5023128F"/>
    <w:rsid w:val="509D5C69"/>
    <w:rsid w:val="50BC5A39"/>
    <w:rsid w:val="5135429E"/>
    <w:rsid w:val="51750DEA"/>
    <w:rsid w:val="521D18ED"/>
    <w:rsid w:val="52E37F64"/>
    <w:rsid w:val="53192DA1"/>
    <w:rsid w:val="53B87782"/>
    <w:rsid w:val="53F640A5"/>
    <w:rsid w:val="557F33D5"/>
    <w:rsid w:val="56F02C50"/>
    <w:rsid w:val="57412909"/>
    <w:rsid w:val="579902E6"/>
    <w:rsid w:val="57B7638F"/>
    <w:rsid w:val="586E3100"/>
    <w:rsid w:val="59AE1159"/>
    <w:rsid w:val="5AA72B95"/>
    <w:rsid w:val="5BCD11DE"/>
    <w:rsid w:val="5CC52489"/>
    <w:rsid w:val="5E1611EE"/>
    <w:rsid w:val="5E356F3D"/>
    <w:rsid w:val="5F3960AE"/>
    <w:rsid w:val="5FCF0966"/>
    <w:rsid w:val="600B4FBD"/>
    <w:rsid w:val="60B53F84"/>
    <w:rsid w:val="61016185"/>
    <w:rsid w:val="6125059E"/>
    <w:rsid w:val="61312662"/>
    <w:rsid w:val="6183550E"/>
    <w:rsid w:val="61D4389A"/>
    <w:rsid w:val="62090E2A"/>
    <w:rsid w:val="629038C3"/>
    <w:rsid w:val="62DA362E"/>
    <w:rsid w:val="65F53318"/>
    <w:rsid w:val="665A3F2F"/>
    <w:rsid w:val="672A5D0A"/>
    <w:rsid w:val="67447D2B"/>
    <w:rsid w:val="67D0065F"/>
    <w:rsid w:val="69CE4B67"/>
    <w:rsid w:val="6C2D29B7"/>
    <w:rsid w:val="6CD24D48"/>
    <w:rsid w:val="6CD3128C"/>
    <w:rsid w:val="6E237266"/>
    <w:rsid w:val="6E870C41"/>
    <w:rsid w:val="6EE73ACC"/>
    <w:rsid w:val="6F4C16B1"/>
    <w:rsid w:val="71B1414C"/>
    <w:rsid w:val="75607CDF"/>
    <w:rsid w:val="76DC50A4"/>
    <w:rsid w:val="77F02350"/>
    <w:rsid w:val="77F77D08"/>
    <w:rsid w:val="78A02EDD"/>
    <w:rsid w:val="797D3510"/>
    <w:rsid w:val="79AD62EB"/>
    <w:rsid w:val="7A9A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1"/>
    <w:pPr>
      <w:spacing w:before="80" w:beforeLines="0" w:afterLines="0"/>
      <w:jc w:val="center"/>
      <w:outlineLvl w:val="1"/>
    </w:pPr>
    <w:rPr>
      <w:rFonts w:hint="eastAsia" w:ascii="方正楷体_GBK" w:hAnsi="方正楷体_GBK" w:eastAsia="方正楷体_GBK"/>
      <w:b/>
      <w:sz w:val="33"/>
      <w:szCs w:val="24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Salutation"/>
    <w:basedOn w:val="1"/>
    <w:next w:val="1"/>
    <w:qFormat/>
    <w:uiPriority w:val="0"/>
    <w:pPr>
      <w:jc w:val="both"/>
      <w:textAlignment w:val="baseline"/>
    </w:pPr>
    <w:rPr>
      <w:rFonts w:ascii="Times New Roman" w:hAnsi="Times New Roman"/>
      <w:kern w:val="2"/>
      <w:sz w:val="21"/>
      <w:szCs w:val="24"/>
      <w:lang w:val="en-US" w:eastAsia="zh-CN" w:bidi="ar-SA"/>
    </w:rPr>
  </w:style>
  <w:style w:type="paragraph" w:styleId="5">
    <w:name w:val="Body Text"/>
    <w:basedOn w:val="1"/>
    <w:next w:val="1"/>
    <w:qFormat/>
    <w:uiPriority w:val="1"/>
    <w:pPr>
      <w:spacing w:before="185"/>
      <w:ind w:left="829"/>
    </w:pPr>
    <w:rPr>
      <w:rFonts w:ascii="PMingLiU" w:hAnsi="PMingLiU" w:eastAsia="PMingLiU" w:cs="PMingLiU"/>
      <w:sz w:val="24"/>
      <w:szCs w:val="24"/>
      <w:lang w:val="zh-CN" w:bidi="zh-CN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"/>
    <w:basedOn w:val="5"/>
    <w:qFormat/>
    <w:uiPriority w:val="0"/>
    <w:pPr>
      <w:ind w:firstLine="420" w:firstLineChars="1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unhideWhenUsed/>
    <w:qFormat/>
    <w:uiPriority w:val="1"/>
    <w:pPr>
      <w:spacing w:before="2" w:beforeLines="0" w:afterLines="0"/>
      <w:ind w:left="711" w:right="708" w:firstLine="660"/>
      <w:jc w:val="both"/>
    </w:pPr>
    <w:rPr>
      <w:rFonts w:hint="eastAsia"/>
      <w:sz w:val="24"/>
      <w:szCs w:val="24"/>
    </w:rPr>
  </w:style>
  <w:style w:type="paragraph" w:customStyle="1" w:styleId="12">
    <w:name w:val="Table Paragraph"/>
    <w:basedOn w:val="1"/>
    <w:unhideWhenUsed/>
    <w:qFormat/>
    <w:uiPriority w:val="1"/>
    <w:pPr>
      <w:spacing w:beforeLines="0" w:afterLines="0"/>
    </w:pPr>
    <w:rPr>
      <w:rFonts w:hint="eastAsia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11/relationships/people" Target="people.xml"/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6035</Words>
  <Characters>6249</Characters>
  <Lines>0</Lines>
  <Paragraphs>0</Paragraphs>
  <TotalTime>2</TotalTime>
  <ScaleCrop>false</ScaleCrop>
  <LinksUpToDate>false</LinksUpToDate>
  <CharactersWithSpaces>6313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2022-04-25T10:11:00Z</dcterms:created>
  <dc:creator>xc</dc:creator>
  <cp:lastModifiedBy>kylin</cp:lastModifiedBy>
  <dcterms:modified xsi:type="dcterms:W3CDTF">2023-10-30T11:51:06Z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FE2B68CE66DF468FA595D04CCCDA1F1F_13</vt:lpwstr>
  </property>
  <property fmtid="{D5CDD505-2E9C-101B-9397-08002B2CF9AE}" pid="4" name="commondata">
    <vt:lpwstr>eyJoZGlkIjoiYzM5NTI2MDAxZTBlOGIyZWY2NDQyM2Y2M2UyOWI5NjkifQ==</vt:lpwstr>
  </property>
</Properties>
</file>