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2B" w:rsidRDefault="0023202B" w:rsidP="0023202B">
      <w:pPr>
        <w:spacing w:line="566" w:lineRule="exact"/>
        <w:rPr>
          <w:rFonts w:ascii="Times New Roman" w:eastAsia="方正黑体_GBK" w:hAnsi="Times New Roman" w:cs="方正黑体_GBK"/>
          <w:color w:val="000000"/>
          <w:sz w:val="33"/>
          <w:szCs w:val="33"/>
        </w:rPr>
      </w:pPr>
      <w:r>
        <w:rPr>
          <w:rFonts w:ascii="Times New Roman" w:eastAsia="方正黑体_GBK" w:hAnsi="Times New Roman" w:cs="方正黑体_GBK" w:hint="eastAsia"/>
          <w:color w:val="000000"/>
          <w:sz w:val="33"/>
          <w:szCs w:val="33"/>
        </w:rPr>
        <w:t>附件</w:t>
      </w:r>
      <w:r>
        <w:rPr>
          <w:rFonts w:ascii="Times New Roman" w:eastAsia="方正黑体_GBK" w:hAnsi="Times New Roman" w:cs="方正黑体_GBK" w:hint="eastAsia"/>
          <w:color w:val="000000"/>
          <w:sz w:val="33"/>
          <w:szCs w:val="33"/>
        </w:rPr>
        <w:t>1</w:t>
      </w:r>
    </w:p>
    <w:p w:rsidR="0023202B" w:rsidRDefault="0023202B" w:rsidP="0023202B">
      <w:pPr>
        <w:spacing w:line="400" w:lineRule="exact"/>
        <w:ind w:firstLineChars="200" w:firstLine="660"/>
        <w:rPr>
          <w:rFonts w:ascii="Times New Roman" w:eastAsia="方正仿宋_GBK" w:hAnsi="Times New Roman" w:cs="方正仿宋_GBK" w:hint="eastAsia"/>
          <w:color w:val="000000"/>
          <w:sz w:val="33"/>
          <w:szCs w:val="33"/>
        </w:rPr>
      </w:pPr>
    </w:p>
    <w:p w:rsidR="0023202B" w:rsidRDefault="0023202B" w:rsidP="0023202B">
      <w:pPr>
        <w:spacing w:line="700" w:lineRule="exact"/>
        <w:jc w:val="center"/>
        <w:rPr>
          <w:rFonts w:ascii="Times New Roman" w:eastAsia="方正小标宋_GBK" w:hAnsi="Times New Roman" w:cs="方正小标宋_GBK" w:hint="eastAsia"/>
          <w:color w:val="000000"/>
          <w:sz w:val="44"/>
          <w:szCs w:val="44"/>
        </w:rPr>
      </w:pPr>
      <w:r>
        <w:rPr>
          <w:rFonts w:ascii="Times New Roman" w:eastAsia="方正小标宋_GBK" w:hAnsi="Times New Roman" w:cs="方正小标宋_GBK" w:hint="eastAsia"/>
          <w:color w:val="000000"/>
          <w:sz w:val="44"/>
          <w:szCs w:val="44"/>
        </w:rPr>
        <w:t>用人单位劳动保障守法诚信等级评价指标和评分标准</w:t>
      </w:r>
    </w:p>
    <w:p w:rsidR="0023202B" w:rsidRDefault="0023202B" w:rsidP="0023202B">
      <w:pPr>
        <w:spacing w:line="590" w:lineRule="exact"/>
        <w:ind w:firstLineChars="200" w:firstLine="660"/>
        <w:rPr>
          <w:rFonts w:ascii="Times New Roman" w:eastAsia="方正仿宋_GBK" w:hAnsi="Times New Roman" w:cs="方正仿宋_GBK" w:hint="eastAsia"/>
          <w:color w:val="000000"/>
          <w:sz w:val="33"/>
          <w:szCs w:val="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745"/>
        <w:gridCol w:w="2810"/>
        <w:gridCol w:w="1365"/>
        <w:gridCol w:w="7350"/>
        <w:gridCol w:w="1071"/>
      </w:tblGrid>
      <w:tr w:rsidR="0023202B" w:rsidTr="00EF5626">
        <w:trPr>
          <w:trHeight w:val="559"/>
          <w:tblHeader/>
          <w:jc w:val="center"/>
        </w:trPr>
        <w:tc>
          <w:tcPr>
            <w:tcW w:w="4806" w:type="dxa"/>
            <w:gridSpan w:val="3"/>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黑体_GBK" w:hAnsi="Times New Roman" w:cs="方正黑体_GBK" w:hint="eastAsia"/>
                <w:bCs/>
                <w:color w:val="000000"/>
                <w:kern w:val="0"/>
                <w:sz w:val="24"/>
              </w:rPr>
            </w:pPr>
            <w:r>
              <w:rPr>
                <w:rFonts w:ascii="Times New Roman" w:eastAsia="方正黑体_GBK" w:hAnsi="Times New Roman" w:cs="方正黑体_GBK" w:hint="eastAsia"/>
                <w:bCs/>
                <w:color w:val="000000"/>
                <w:kern w:val="0"/>
                <w:sz w:val="24"/>
              </w:rPr>
              <w:t>评</w:t>
            </w:r>
            <w:r>
              <w:rPr>
                <w:rFonts w:ascii="Times New Roman" w:eastAsia="方正黑体_GBK" w:hAnsi="Times New Roman" w:cs="方正黑体_GBK" w:hint="eastAsia"/>
                <w:bCs/>
                <w:color w:val="000000"/>
                <w:kern w:val="0"/>
                <w:sz w:val="24"/>
              </w:rPr>
              <w:t xml:space="preserve">  </w:t>
            </w:r>
            <w:r>
              <w:rPr>
                <w:rFonts w:ascii="Times New Roman" w:eastAsia="方正黑体_GBK" w:hAnsi="Times New Roman" w:cs="方正黑体_GBK" w:hint="eastAsia"/>
                <w:bCs/>
                <w:color w:val="000000"/>
                <w:kern w:val="0"/>
                <w:sz w:val="24"/>
              </w:rPr>
              <w:t>价</w:t>
            </w:r>
            <w:r>
              <w:rPr>
                <w:rFonts w:ascii="Times New Roman" w:eastAsia="方正黑体_GBK" w:hAnsi="Times New Roman" w:cs="方正黑体_GBK" w:hint="eastAsia"/>
                <w:bCs/>
                <w:color w:val="000000"/>
                <w:kern w:val="0"/>
                <w:sz w:val="24"/>
              </w:rPr>
              <w:t xml:space="preserve">  </w:t>
            </w:r>
            <w:r>
              <w:rPr>
                <w:rFonts w:ascii="Times New Roman" w:eastAsia="方正黑体_GBK" w:hAnsi="Times New Roman" w:cs="方正黑体_GBK" w:hint="eastAsia"/>
                <w:bCs/>
                <w:color w:val="000000"/>
                <w:kern w:val="0"/>
                <w:sz w:val="24"/>
              </w:rPr>
              <w:t>指</w:t>
            </w:r>
            <w:r>
              <w:rPr>
                <w:rFonts w:ascii="Times New Roman" w:eastAsia="方正黑体_GBK" w:hAnsi="Times New Roman" w:cs="方正黑体_GBK" w:hint="eastAsia"/>
                <w:bCs/>
                <w:color w:val="000000"/>
                <w:kern w:val="0"/>
                <w:sz w:val="24"/>
              </w:rPr>
              <w:t xml:space="preserve">  </w:t>
            </w:r>
            <w:r>
              <w:rPr>
                <w:rFonts w:ascii="Times New Roman" w:eastAsia="方正黑体_GBK" w:hAnsi="Times New Roman" w:cs="方正黑体_GBK" w:hint="eastAsia"/>
                <w:bCs/>
                <w:color w:val="000000"/>
                <w:kern w:val="0"/>
                <w:sz w:val="24"/>
              </w:rPr>
              <w:t>标</w:t>
            </w:r>
          </w:p>
        </w:tc>
        <w:tc>
          <w:tcPr>
            <w:tcW w:w="8715" w:type="dxa"/>
            <w:gridSpan w:val="2"/>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黑体_GBK" w:hAnsi="Times New Roman" w:cs="方正黑体_GBK" w:hint="eastAsia"/>
                <w:bCs/>
                <w:color w:val="000000"/>
                <w:kern w:val="0"/>
                <w:sz w:val="24"/>
              </w:rPr>
            </w:pPr>
            <w:r>
              <w:rPr>
                <w:rFonts w:ascii="Times New Roman" w:eastAsia="方正黑体_GBK" w:hAnsi="Times New Roman" w:cs="方正黑体_GBK" w:hint="eastAsia"/>
                <w:bCs/>
                <w:color w:val="000000"/>
                <w:kern w:val="0"/>
                <w:sz w:val="24"/>
              </w:rPr>
              <w:t>评</w:t>
            </w:r>
            <w:r>
              <w:rPr>
                <w:rFonts w:ascii="Times New Roman" w:eastAsia="方正黑体_GBK" w:hAnsi="Times New Roman" w:cs="方正黑体_GBK" w:hint="eastAsia"/>
                <w:bCs/>
                <w:color w:val="000000"/>
                <w:kern w:val="0"/>
                <w:sz w:val="24"/>
              </w:rPr>
              <w:t xml:space="preserve">  </w:t>
            </w:r>
            <w:r>
              <w:rPr>
                <w:rFonts w:ascii="Times New Roman" w:eastAsia="方正黑体_GBK" w:hAnsi="Times New Roman" w:cs="方正黑体_GBK" w:hint="eastAsia"/>
                <w:bCs/>
                <w:color w:val="000000"/>
                <w:kern w:val="0"/>
                <w:sz w:val="24"/>
              </w:rPr>
              <w:t>分</w:t>
            </w:r>
            <w:r>
              <w:rPr>
                <w:rFonts w:ascii="Times New Roman" w:eastAsia="方正黑体_GBK" w:hAnsi="Times New Roman" w:cs="方正黑体_GBK" w:hint="eastAsia"/>
                <w:bCs/>
                <w:color w:val="000000"/>
                <w:kern w:val="0"/>
                <w:sz w:val="24"/>
              </w:rPr>
              <w:t xml:space="preserve">  </w:t>
            </w:r>
            <w:r>
              <w:rPr>
                <w:rFonts w:ascii="Times New Roman" w:eastAsia="方正黑体_GBK" w:hAnsi="Times New Roman" w:cs="方正黑体_GBK" w:hint="eastAsia"/>
                <w:bCs/>
                <w:color w:val="000000"/>
                <w:kern w:val="0"/>
                <w:sz w:val="24"/>
              </w:rPr>
              <w:t>标</w:t>
            </w:r>
            <w:r>
              <w:rPr>
                <w:rFonts w:ascii="Times New Roman" w:eastAsia="方正黑体_GBK" w:hAnsi="Times New Roman" w:cs="方正黑体_GBK" w:hint="eastAsia"/>
                <w:bCs/>
                <w:color w:val="000000"/>
                <w:kern w:val="0"/>
                <w:sz w:val="24"/>
              </w:rPr>
              <w:t xml:space="preserve">  </w:t>
            </w:r>
            <w:r>
              <w:rPr>
                <w:rFonts w:ascii="Times New Roman" w:eastAsia="方正黑体_GBK" w:hAnsi="Times New Roman" w:cs="方正黑体_GBK" w:hint="eastAsia"/>
                <w:bCs/>
                <w:color w:val="000000"/>
                <w:kern w:val="0"/>
                <w:sz w:val="24"/>
              </w:rPr>
              <w:t>准</w:t>
            </w:r>
          </w:p>
        </w:tc>
        <w:tc>
          <w:tcPr>
            <w:tcW w:w="1071" w:type="dxa"/>
            <w:tcMar>
              <w:left w:w="11" w:type="dxa"/>
              <w:right w:w="11" w:type="dxa"/>
            </w:tcMar>
            <w:vAlign w:val="center"/>
          </w:tcPr>
          <w:p w:rsidR="0023202B" w:rsidRDefault="0023202B" w:rsidP="00EF5626">
            <w:pPr>
              <w:widowControl/>
              <w:spacing w:line="280" w:lineRule="exact"/>
              <w:jc w:val="center"/>
              <w:rPr>
                <w:rFonts w:ascii="Times New Roman" w:eastAsia="方正黑体_GBK" w:hAnsi="Times New Roman" w:cs="方正黑体_GBK" w:hint="eastAsia"/>
                <w:bCs/>
                <w:color w:val="000000"/>
                <w:kern w:val="0"/>
                <w:sz w:val="24"/>
              </w:rPr>
            </w:pPr>
            <w:r>
              <w:rPr>
                <w:rFonts w:ascii="Times New Roman" w:eastAsia="方正黑体_GBK" w:hAnsi="Times New Roman" w:cs="方正黑体_GBK" w:hint="eastAsia"/>
                <w:bCs/>
                <w:color w:val="000000"/>
                <w:kern w:val="0"/>
                <w:sz w:val="24"/>
              </w:rPr>
              <w:t>确认方式</w:t>
            </w:r>
          </w:p>
        </w:tc>
      </w:tr>
      <w:tr w:rsidR="0023202B" w:rsidTr="00EF5626">
        <w:trPr>
          <w:trHeight w:val="618"/>
          <w:jc w:val="center"/>
        </w:trPr>
        <w:tc>
          <w:tcPr>
            <w:tcW w:w="125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责令改正、</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行政处理、</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行政处罚、</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行政检查、劳动争议</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处理指标</w:t>
            </w: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w:t>
            </w:r>
          </w:p>
        </w:tc>
        <w:tc>
          <w:tcPr>
            <w:tcW w:w="2810" w:type="dxa"/>
            <w:vMerge w:val="restart"/>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劳动保障违法行为</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违法行为涉及劳动者</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人以下，或涉及金额</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万元以下</w:t>
            </w:r>
          </w:p>
        </w:tc>
        <w:tc>
          <w:tcPr>
            <w:tcW w:w="107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执法文书或政府部门及工会组织的正式文件</w:t>
            </w:r>
          </w:p>
        </w:tc>
      </w:tr>
      <w:tr w:rsidR="0023202B" w:rsidTr="00EF5626">
        <w:trPr>
          <w:trHeight w:val="618"/>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8</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违法行为涉及劳动者</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人以上，或涉及金额</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万元以上（含</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万元）</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18"/>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3</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10</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违法行为涉及劳动者</w:t>
            </w:r>
            <w:r>
              <w:rPr>
                <w:rFonts w:ascii="Times New Roman" w:eastAsia="方正仿宋_GBK" w:hAnsi="Times New Roman" w:cs="方正仿宋_GBK" w:hint="eastAsia"/>
                <w:color w:val="000000"/>
                <w:kern w:val="0"/>
                <w:sz w:val="24"/>
              </w:rPr>
              <w:t>10</w:t>
            </w:r>
            <w:r>
              <w:rPr>
                <w:rFonts w:ascii="Times New Roman" w:eastAsia="方正仿宋_GBK" w:hAnsi="Times New Roman" w:cs="方正仿宋_GBK" w:hint="eastAsia"/>
                <w:color w:val="000000"/>
                <w:kern w:val="0"/>
                <w:sz w:val="24"/>
              </w:rPr>
              <w:t>人以上，或涉及金额</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万元以上（含</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万元）</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18"/>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4</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其他劳动保障违法行为</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18"/>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5</w:t>
            </w:r>
          </w:p>
        </w:tc>
        <w:tc>
          <w:tcPr>
            <w:tcW w:w="2810" w:type="dxa"/>
            <w:vMerge w:val="restart"/>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责令改正</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因劳动保障违法行为被人力资源和社会保障行政部门责令改正</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18"/>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6</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因劳动保障违法行为被其他政府部门或工会组织责令改正</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18"/>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7</w:t>
            </w:r>
          </w:p>
        </w:tc>
        <w:tc>
          <w:tcPr>
            <w:tcW w:w="2810" w:type="dxa"/>
            <w:vMerge w:val="restart"/>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行政处理</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3</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因劳动保障违法行为被人力资源和社会保障行政部门行政处理</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18"/>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8</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3</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因劳动保障违法行为被其他政府部门行政处理</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705"/>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9</w:t>
            </w:r>
          </w:p>
        </w:tc>
        <w:tc>
          <w:tcPr>
            <w:tcW w:w="2810" w:type="dxa"/>
            <w:vMerge w:val="restart"/>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行政处罚</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因劳动保障违法行为被人力资源和社会保障行政部门或其他政府部门行政处罚</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万元以下</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763"/>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10</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8</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因劳动保障违法行为被人力资源和社会保障行政部门或其他政府部门行政处罚</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万元以上（含</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万元）</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782"/>
          <w:jc w:val="center"/>
        </w:trPr>
        <w:tc>
          <w:tcPr>
            <w:tcW w:w="125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lastRenderedPageBreak/>
              <w:t>责令改正、</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行政处理、</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行政处罚、</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行政检查、劳动争议</w:t>
            </w:r>
          </w:p>
          <w:p w:rsidR="0023202B" w:rsidRDefault="0023202B" w:rsidP="00EF5626">
            <w:pPr>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处理指标</w:t>
            </w: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11</w:t>
            </w:r>
          </w:p>
        </w:tc>
        <w:tc>
          <w:tcPr>
            <w:tcW w:w="2810" w:type="dxa"/>
            <w:vMerge w:val="restart"/>
            <w:tcMar>
              <w:left w:w="11" w:type="dxa"/>
              <w:right w:w="11" w:type="dxa"/>
            </w:tcMar>
            <w:vAlign w:val="center"/>
          </w:tcPr>
          <w:p w:rsidR="0023202B" w:rsidRDefault="0023202B" w:rsidP="00EF5626">
            <w:pPr>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行政处罚</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10</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因劳动保障违法行为被人力资源和社会保障行政部门或其他政府部门行政处罚</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万元以上（含</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万元）</w:t>
            </w:r>
          </w:p>
        </w:tc>
        <w:tc>
          <w:tcPr>
            <w:tcW w:w="1071" w:type="dxa"/>
            <w:vMerge w:val="restart"/>
            <w:tcMar>
              <w:left w:w="11" w:type="dxa"/>
              <w:right w:w="11" w:type="dxa"/>
            </w:tcMar>
            <w:vAlign w:val="center"/>
          </w:tcPr>
          <w:p w:rsidR="0023202B" w:rsidRDefault="0023202B" w:rsidP="00EF5626">
            <w:pPr>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执法文书或政府部门及工会组织的正式文件</w:t>
            </w:r>
          </w:p>
        </w:tc>
      </w:tr>
      <w:tr w:rsidR="0023202B" w:rsidTr="00EF5626">
        <w:trPr>
          <w:trHeight w:val="782"/>
          <w:jc w:val="center"/>
        </w:trPr>
        <w:tc>
          <w:tcPr>
            <w:tcW w:w="1251" w:type="dxa"/>
            <w:vMerge/>
            <w:tcMar>
              <w:left w:w="11" w:type="dxa"/>
              <w:right w:w="11" w:type="dxa"/>
            </w:tcMar>
            <w:vAlign w:val="center"/>
          </w:tcPr>
          <w:p w:rsidR="0023202B" w:rsidRDefault="0023202B" w:rsidP="00EF5626">
            <w:pPr>
              <w:spacing w:line="280" w:lineRule="exact"/>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12</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因劳动保障违法行为被人力资源和社会保障行政部门或其他政府部门作出其他行政处罚</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69"/>
          <w:jc w:val="center"/>
        </w:trPr>
        <w:tc>
          <w:tcPr>
            <w:tcW w:w="1251" w:type="dxa"/>
            <w:vMerge/>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13</w:t>
            </w:r>
          </w:p>
        </w:tc>
        <w:tc>
          <w:tcPr>
            <w:tcW w:w="2810" w:type="dxa"/>
            <w:vMerge w:val="restart"/>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劳动保障书面审查</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10</w:t>
            </w:r>
            <w:r>
              <w:rPr>
                <w:rFonts w:ascii="Times New Roman" w:eastAsia="方正仿宋_GBK" w:hAnsi="Times New Roman" w:cs="方正仿宋_GBK" w:hint="eastAsia"/>
                <w:color w:val="000000"/>
                <w:kern w:val="0"/>
                <w:sz w:val="24"/>
              </w:rPr>
              <w:t>分</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未依法接受劳动保障书面审查</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6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14</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分</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依法接受劳动保障书面审查，但未达到合格标准</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6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15</w:t>
            </w:r>
          </w:p>
        </w:tc>
        <w:tc>
          <w:tcPr>
            <w:tcW w:w="2810" w:type="dxa"/>
            <w:vMerge w:val="restart"/>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劳动争议</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3</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劳动争议经劳动仲裁或诉讼，劳动者的部分权益请求得到支持</w:t>
            </w:r>
          </w:p>
        </w:tc>
        <w:tc>
          <w:tcPr>
            <w:tcW w:w="107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生效的仲</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裁裁决书</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或法院裁</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判文书</w:t>
            </w:r>
          </w:p>
        </w:tc>
      </w:tr>
      <w:tr w:rsidR="0023202B" w:rsidTr="00EF5626">
        <w:trPr>
          <w:trHeight w:val="66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16</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5</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劳动争议经劳动仲裁或诉讼，劳动者的全部权益请求得到支持</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6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17</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8</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集体劳动争议经劳动仲裁或诉讼，劳动者的部分权益请求得到支持</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66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18</w:t>
            </w:r>
          </w:p>
        </w:tc>
        <w:tc>
          <w:tcPr>
            <w:tcW w:w="2810" w:type="dxa"/>
            <w:vMerge/>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10</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集体劳动争议经劳动仲裁或诉讼，劳动者的全部权益请求得到支持</w:t>
            </w: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952"/>
          <w:jc w:val="center"/>
        </w:trPr>
        <w:tc>
          <w:tcPr>
            <w:tcW w:w="125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劳动保障</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诚信指标</w:t>
            </w: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19</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自愿注册信用信息</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1</w:t>
            </w:r>
            <w:r>
              <w:rPr>
                <w:rFonts w:ascii="Times New Roman" w:eastAsia="方正仿宋_GBK" w:hAnsi="Times New Roman" w:cs="方正仿宋_GBK" w:hint="eastAsia"/>
                <w:color w:val="000000"/>
                <w:kern w:val="0"/>
                <w:sz w:val="24"/>
              </w:rPr>
              <w:t>分</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在“信用中国”、“信用中国（四川）”或其他有资质的第三方信用服务平台注册资质证照、市场经营、合同履约、社会公益等信用信息</w:t>
            </w:r>
          </w:p>
        </w:tc>
        <w:tc>
          <w:tcPr>
            <w:tcW w:w="107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政府部门</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和工会等</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组织的正</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式文件</w:t>
            </w:r>
          </w:p>
        </w:tc>
      </w:tr>
      <w:tr w:rsidR="0023202B" w:rsidTr="00EF5626">
        <w:trPr>
          <w:trHeight w:val="952"/>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20</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劳动保障评比表彰</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分</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次</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因劳动保障方面突出表现，被认定为表彰奖励单位。累计加分不超过</w:t>
            </w:r>
            <w:r>
              <w:rPr>
                <w:rFonts w:ascii="Times New Roman" w:eastAsia="方正仿宋_GBK" w:hAnsi="Times New Roman" w:cs="方正仿宋_GBK" w:hint="eastAsia"/>
                <w:color w:val="000000"/>
                <w:kern w:val="0"/>
                <w:sz w:val="24"/>
              </w:rPr>
              <w:t>4</w:t>
            </w:r>
            <w:r>
              <w:rPr>
                <w:rFonts w:ascii="Times New Roman" w:eastAsia="方正仿宋_GBK" w:hAnsi="Times New Roman" w:cs="方正仿宋_GBK" w:hint="eastAsia"/>
                <w:color w:val="000000"/>
                <w:kern w:val="0"/>
                <w:sz w:val="24"/>
              </w:rPr>
              <w:t>分</w:t>
            </w:r>
          </w:p>
        </w:tc>
        <w:tc>
          <w:tcPr>
            <w:tcW w:w="1071" w:type="dxa"/>
            <w:vMerge/>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p>
        </w:tc>
      </w:tr>
      <w:tr w:rsidR="0023202B" w:rsidTr="00EF5626">
        <w:trPr>
          <w:trHeight w:val="1215"/>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21</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无劳动保障违法案件记录</w:t>
            </w:r>
          </w:p>
        </w:tc>
        <w:tc>
          <w:tcPr>
            <w:tcW w:w="136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w:t>
            </w:r>
            <w:r>
              <w:rPr>
                <w:rFonts w:ascii="Times New Roman" w:eastAsia="方正仿宋_GBK" w:hAnsi="Times New Roman" w:cs="方正仿宋_GBK" w:hint="eastAsia"/>
                <w:color w:val="000000"/>
                <w:kern w:val="0"/>
                <w:sz w:val="24"/>
              </w:rPr>
              <w:t>分</w:t>
            </w:r>
          </w:p>
        </w:tc>
        <w:tc>
          <w:tcPr>
            <w:tcW w:w="735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年度无劳动保障举报投诉和劳动争议仲裁申请</w:t>
            </w:r>
          </w:p>
        </w:tc>
        <w:tc>
          <w:tcPr>
            <w:tcW w:w="1071"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劳动保障监察和劳动仲裁部门的记录</w:t>
            </w:r>
          </w:p>
        </w:tc>
      </w:tr>
      <w:tr w:rsidR="0023202B" w:rsidTr="00EF5626">
        <w:trPr>
          <w:trHeight w:val="1009"/>
          <w:jc w:val="center"/>
        </w:trPr>
        <w:tc>
          <w:tcPr>
            <w:tcW w:w="125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lastRenderedPageBreak/>
              <w:t>直接</w:t>
            </w:r>
          </w:p>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定级</w:t>
            </w:r>
          </w:p>
          <w:p w:rsidR="0023202B" w:rsidRDefault="0023202B" w:rsidP="00EF5626">
            <w:pPr>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指标</w:t>
            </w: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22</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因劳动保障违法行为被查处三次以上（含三次）的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val="restart"/>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执法文书或政府部门的正式文件</w:t>
            </w:r>
          </w:p>
        </w:tc>
      </w:tr>
      <w:tr w:rsidR="0023202B" w:rsidTr="00EF5626">
        <w:trPr>
          <w:trHeight w:val="1009"/>
          <w:jc w:val="center"/>
        </w:trPr>
        <w:tc>
          <w:tcPr>
            <w:tcW w:w="1251" w:type="dxa"/>
            <w:vMerge/>
            <w:tcMar>
              <w:left w:w="11" w:type="dxa"/>
              <w:right w:w="11" w:type="dxa"/>
            </w:tcMar>
            <w:vAlign w:val="center"/>
          </w:tcPr>
          <w:p w:rsidR="0023202B" w:rsidRDefault="0023202B" w:rsidP="00EF5626">
            <w:pPr>
              <w:spacing w:line="280" w:lineRule="exact"/>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23</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因劳动保障违法行为引发群体性事件、极端事件或造成严重不良社会影响的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1009"/>
          <w:jc w:val="center"/>
        </w:trPr>
        <w:tc>
          <w:tcPr>
            <w:tcW w:w="1251" w:type="dxa"/>
            <w:vMerge/>
            <w:tcMar>
              <w:left w:w="11" w:type="dxa"/>
              <w:right w:w="11" w:type="dxa"/>
            </w:tcMar>
            <w:vAlign w:val="center"/>
          </w:tcPr>
          <w:p w:rsidR="0023202B" w:rsidRDefault="0023202B" w:rsidP="00EF5626">
            <w:pPr>
              <w:spacing w:line="280" w:lineRule="exact"/>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24</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因使用童工、强迫劳动等严重劳动保障违法行为被查处的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1009"/>
          <w:jc w:val="center"/>
        </w:trPr>
        <w:tc>
          <w:tcPr>
            <w:tcW w:w="1251" w:type="dxa"/>
            <w:vMerge/>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25</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拒不履行劳动保障监察限期整改指令、行政处理决定或行政处罚决定的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1365"/>
          <w:jc w:val="center"/>
        </w:trPr>
        <w:tc>
          <w:tcPr>
            <w:tcW w:w="1251" w:type="dxa"/>
            <w:vMerge/>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26</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无理抗拒、阻挠人力资源和社会保障行政部门实施劳动保障监察且拒不改正的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100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27</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因劳动保障违法行为被追究刑事责任的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100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28</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因劳动保障违法行为被列</w:t>
            </w:r>
            <w:r>
              <w:rPr>
                <w:rFonts w:ascii="Times New Roman" w:eastAsia="方正仿宋_GBK" w:hAnsi="Times New Roman" w:cs="方正仿宋_GBK" w:hint="eastAsia"/>
                <w:color w:val="000000"/>
                <w:spacing w:val="-11"/>
                <w:kern w:val="0"/>
                <w:sz w:val="24"/>
              </w:rPr>
              <w:t>入失信联合惩戒对象名单的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r w:rsidR="0023202B" w:rsidTr="00EF5626">
        <w:trPr>
          <w:trHeight w:val="1009"/>
          <w:jc w:val="center"/>
        </w:trPr>
        <w:tc>
          <w:tcPr>
            <w:tcW w:w="125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45" w:type="dxa"/>
            <w:tcMar>
              <w:left w:w="11" w:type="dxa"/>
              <w:right w:w="11" w:type="dxa"/>
            </w:tcMar>
            <w:vAlign w:val="center"/>
          </w:tcPr>
          <w:p w:rsidR="0023202B" w:rsidRDefault="0023202B" w:rsidP="00EF5626">
            <w:pPr>
              <w:widowControl/>
              <w:spacing w:line="280" w:lineRule="exact"/>
              <w:jc w:val="cente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29</w:t>
            </w:r>
          </w:p>
        </w:tc>
        <w:tc>
          <w:tcPr>
            <w:tcW w:w="2810" w:type="dxa"/>
            <w:tcMar>
              <w:left w:w="11" w:type="dxa"/>
              <w:right w:w="11" w:type="dxa"/>
            </w:tcMar>
            <w:vAlign w:val="center"/>
          </w:tcPr>
          <w:p w:rsidR="0023202B" w:rsidRDefault="0023202B" w:rsidP="00EF5626">
            <w:pPr>
              <w:widowControl/>
              <w:spacing w:line="280" w:lineRule="exact"/>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发生其他重大劳动保障违法行为的</w:t>
            </w:r>
          </w:p>
        </w:tc>
        <w:tc>
          <w:tcPr>
            <w:tcW w:w="1365" w:type="dxa"/>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c>
          <w:tcPr>
            <w:tcW w:w="7350" w:type="dxa"/>
            <w:tcMar>
              <w:left w:w="11" w:type="dxa"/>
              <w:right w:w="11" w:type="dxa"/>
            </w:tcMar>
            <w:vAlign w:val="center"/>
          </w:tcPr>
          <w:p w:rsidR="0023202B" w:rsidRDefault="0023202B" w:rsidP="00EF5626">
            <w:pPr>
              <w:widowControl/>
              <w:spacing w:line="280" w:lineRule="exact"/>
              <w:ind w:firstLineChars="200" w:firstLine="480"/>
              <w:rPr>
                <w:rFonts w:ascii="Times New Roman" w:eastAsia="方正仿宋_GBK" w:hAnsi="Times New Roman" w:cs="方正仿宋_GBK" w:hint="eastAsia"/>
                <w:color w:val="000000"/>
                <w:kern w:val="0"/>
                <w:sz w:val="24"/>
              </w:rPr>
            </w:pPr>
          </w:p>
        </w:tc>
        <w:tc>
          <w:tcPr>
            <w:tcW w:w="1071" w:type="dxa"/>
            <w:vMerge/>
            <w:tcMar>
              <w:left w:w="11" w:type="dxa"/>
              <w:right w:w="11" w:type="dxa"/>
            </w:tcMar>
            <w:vAlign w:val="center"/>
          </w:tcPr>
          <w:p w:rsidR="0023202B" w:rsidRDefault="0023202B" w:rsidP="00EF5626">
            <w:pPr>
              <w:widowControl/>
              <w:spacing w:line="280" w:lineRule="exact"/>
              <w:ind w:firstLineChars="200" w:firstLine="480"/>
              <w:jc w:val="center"/>
              <w:rPr>
                <w:rFonts w:ascii="Times New Roman" w:eastAsia="方正仿宋_GBK" w:hAnsi="Times New Roman" w:cs="方正仿宋_GBK" w:hint="eastAsia"/>
                <w:color w:val="000000"/>
                <w:kern w:val="0"/>
                <w:sz w:val="24"/>
              </w:rPr>
            </w:pPr>
          </w:p>
        </w:tc>
      </w:tr>
    </w:tbl>
    <w:p w:rsidR="0023202B" w:rsidRDefault="0023202B" w:rsidP="0023202B">
      <w:pPr>
        <w:spacing w:line="200" w:lineRule="exact"/>
        <w:rPr>
          <w:rFonts w:ascii="Times New Roman" w:eastAsia="方正仿宋_GBK" w:hAnsi="Times New Roman" w:cs="方正仿宋_GBK" w:hint="eastAsia"/>
          <w:color w:val="000000"/>
          <w:sz w:val="33"/>
          <w:szCs w:val="33"/>
        </w:rPr>
      </w:pPr>
    </w:p>
    <w:p w:rsidR="0023202B" w:rsidRDefault="0023202B" w:rsidP="0023202B">
      <w:pPr>
        <w:spacing w:line="590" w:lineRule="exact"/>
        <w:ind w:firstLineChars="200" w:firstLine="660"/>
        <w:rPr>
          <w:rFonts w:ascii="Times New Roman" w:eastAsia="方正仿宋_GBK" w:hAnsi="Times New Roman" w:cs="方正仿宋_GBK" w:hint="eastAsia"/>
          <w:color w:val="000000"/>
          <w:sz w:val="33"/>
          <w:szCs w:val="33"/>
        </w:rPr>
        <w:sectPr w:rsidR="0023202B">
          <w:pgSz w:w="16838" w:h="11906" w:orient="landscape"/>
          <w:pgMar w:top="1134" w:right="1134" w:bottom="1134" w:left="1134" w:header="851" w:footer="1134" w:gutter="0"/>
          <w:cols w:space="720"/>
          <w:docGrid w:type="lines" w:linePitch="312"/>
        </w:sectPr>
      </w:pPr>
    </w:p>
    <w:p w:rsidR="007D22CD" w:rsidRPr="0023202B" w:rsidRDefault="002263D7">
      <w:bookmarkStart w:id="0" w:name="_GoBack"/>
      <w:bookmarkEnd w:id="0"/>
    </w:p>
    <w:sectPr w:rsidR="007D22CD" w:rsidRPr="0023202B" w:rsidSect="0023202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3D7" w:rsidRDefault="002263D7" w:rsidP="0023202B">
      <w:r>
        <w:separator/>
      </w:r>
    </w:p>
  </w:endnote>
  <w:endnote w:type="continuationSeparator" w:id="0">
    <w:p w:rsidR="002263D7" w:rsidRDefault="002263D7" w:rsidP="0023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3D7" w:rsidRDefault="002263D7" w:rsidP="0023202B">
      <w:r>
        <w:separator/>
      </w:r>
    </w:p>
  </w:footnote>
  <w:footnote w:type="continuationSeparator" w:id="0">
    <w:p w:rsidR="002263D7" w:rsidRDefault="002263D7" w:rsidP="00232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A8"/>
    <w:rsid w:val="002201A8"/>
    <w:rsid w:val="002263D7"/>
    <w:rsid w:val="0023202B"/>
    <w:rsid w:val="00A07B7D"/>
    <w:rsid w:val="00E3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F75D84-76D8-41D5-9435-1D2EB7EF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2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0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202B"/>
    <w:rPr>
      <w:sz w:val="18"/>
      <w:szCs w:val="18"/>
    </w:rPr>
  </w:style>
  <w:style w:type="paragraph" w:styleId="a4">
    <w:name w:val="footer"/>
    <w:basedOn w:val="a"/>
    <w:link w:val="Char0"/>
    <w:uiPriority w:val="99"/>
    <w:unhideWhenUsed/>
    <w:rsid w:val="002320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20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1260</Characters>
  <Application>Microsoft Office Word</Application>
  <DocSecurity>0</DocSecurity>
  <Lines>10</Lines>
  <Paragraphs>2</Paragraphs>
  <ScaleCrop>false</ScaleCrop>
  <Company>微软中国</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2024-03-26T01:07:00Z</dcterms:created>
  <dcterms:modified xsi:type="dcterms:W3CDTF">2024-03-26T01:08:00Z</dcterms:modified>
</cp:coreProperties>
</file>