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小标宋_GBK" w:eastAsia="方正黑体_GBK"/>
          <w:w w:val="99"/>
          <w:sz w:val="44"/>
          <w:szCs w:val="44"/>
          <w:lang w:val="en-US" w:eastAsia="zh-CN"/>
        </w:rPr>
      </w:pPr>
      <w:r>
        <w:rPr>
          <w:rFonts w:hint="eastAsia" w:ascii="方正黑体_GBK" w:hAnsi="方正黑体_GBK" w:eastAsia="方正黑体_GBK" w:cs="方正黑体_GBK"/>
          <w:kern w:val="0"/>
          <w:sz w:val="33"/>
          <w:szCs w:val="33"/>
        </w:rPr>
        <w:t>附件</w:t>
      </w:r>
      <w:r>
        <w:rPr>
          <w:rFonts w:hint="eastAsia" w:ascii="方正黑体_GBK" w:hAnsi="方正黑体_GBK" w:eastAsia="方正黑体_GBK" w:cs="方正黑体_GBK"/>
          <w:kern w:val="0"/>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pacing w:val="-17"/>
          <w:sz w:val="44"/>
          <w:szCs w:val="44"/>
          <w:lang w:eastAsia="zh-CN"/>
        </w:rPr>
      </w:pPr>
      <w:r>
        <w:rPr>
          <w:rFonts w:hint="eastAsia" w:ascii="方正小标宋_GBK" w:hAnsi="方正小标宋_GBK" w:eastAsia="方正小标宋_GBK" w:cs="方正小标宋_GBK"/>
          <w:spacing w:val="-17"/>
          <w:sz w:val="44"/>
          <w:szCs w:val="44"/>
          <w:lang w:eastAsia="zh-CN"/>
        </w:rPr>
        <w:t>第三轮省级</w:t>
      </w:r>
      <w:r>
        <w:rPr>
          <w:rFonts w:hint="eastAsia" w:ascii="方正小标宋_GBK" w:hAnsi="方正小标宋_GBK" w:eastAsia="方正小标宋_GBK" w:cs="方正小标宋_GBK"/>
          <w:spacing w:val="-17"/>
          <w:sz w:val="44"/>
          <w:szCs w:val="44"/>
        </w:rPr>
        <w:t>生态环境保护督察</w:t>
      </w:r>
      <w:r>
        <w:rPr>
          <w:rFonts w:hint="eastAsia" w:ascii="方正小标宋_GBK" w:hAnsi="方正小标宋_GBK" w:eastAsia="方正小标宋_GBK" w:cs="方正小标宋_GBK"/>
          <w:spacing w:val="-17"/>
          <w:sz w:val="44"/>
          <w:szCs w:val="44"/>
          <w:lang w:eastAsia="zh-CN"/>
        </w:rPr>
        <w:t>第五项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pacing w:val="-17"/>
          <w:sz w:val="44"/>
          <w:szCs w:val="44"/>
          <w:lang w:eastAsia="zh-CN"/>
        </w:rPr>
      </w:pPr>
      <w:r>
        <w:rPr>
          <w:rFonts w:hint="eastAsia" w:ascii="方正小标宋_GBK" w:hAnsi="方正小标宋_GBK" w:eastAsia="方正小标宋_GBK" w:cs="方正小标宋_GBK"/>
          <w:spacing w:val="-17"/>
          <w:sz w:val="44"/>
          <w:szCs w:val="44"/>
        </w:rPr>
        <w:t>整改任务</w:t>
      </w:r>
      <w:r>
        <w:rPr>
          <w:rFonts w:hint="eastAsia" w:ascii="方正小标宋_GBK" w:hAnsi="方正小标宋_GBK" w:eastAsia="方正小标宋_GBK" w:cs="方正小标宋_GBK"/>
          <w:spacing w:val="-17"/>
          <w:sz w:val="44"/>
          <w:szCs w:val="44"/>
          <w:lang w:eastAsia="zh-CN"/>
        </w:rPr>
        <w:t>完成情况表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pacing w:val="-17"/>
          <w:sz w:val="30"/>
          <w:szCs w:val="30"/>
          <w:lang w:eastAsia="zh-CN"/>
        </w:rPr>
      </w:pPr>
      <w:r>
        <w:rPr>
          <w:rFonts w:hint="eastAsia" w:ascii="方正小标宋_GBK" w:hAnsi="方正小标宋_GBK" w:eastAsia="方正小标宋_GBK" w:cs="方正小标宋_GBK"/>
          <w:b w:val="0"/>
          <w:bCs w:val="0"/>
          <w:spacing w:val="-17"/>
          <w:sz w:val="30"/>
          <w:szCs w:val="30"/>
          <w:lang w:eastAsia="zh-CN"/>
        </w:rPr>
        <w:t>（对应市整改任务第十项）</w:t>
      </w:r>
    </w:p>
    <w:tbl>
      <w:tblPr>
        <w:tblStyle w:val="8"/>
        <w:tblpPr w:leftFromText="180" w:rightFromText="180" w:vertAnchor="text" w:horzAnchor="page" w:tblpX="1440" w:tblpY="405"/>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5"/>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215" w:type="dxa"/>
            <w:vAlign w:val="center"/>
          </w:tcPr>
          <w:p>
            <w:pPr>
              <w:spacing w:line="720" w:lineRule="exact"/>
              <w:jc w:val="center"/>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整改任务</w:t>
            </w:r>
          </w:p>
        </w:tc>
        <w:tc>
          <w:tcPr>
            <w:tcW w:w="6924" w:type="dxa"/>
            <w:vAlign w:val="center"/>
          </w:tcPr>
          <w:p>
            <w:pPr>
              <w:spacing w:line="320" w:lineRule="exact"/>
              <w:jc w:val="both"/>
              <w:rPr>
                <w:rFonts w:hint="default" w:ascii="Times New Roman" w:hAnsi="Times New Roman" w:eastAsia="方正仿宋_GBK" w:cs="Times New Roman"/>
                <w:kern w:val="0"/>
                <w:sz w:val="24"/>
                <w:szCs w:val="24"/>
                <w:lang w:val="en-US" w:eastAsia="zh-CN"/>
              </w:rPr>
            </w:pPr>
            <w:r>
              <w:rPr>
                <w:rFonts w:hint="eastAsia" w:ascii="仿宋" w:hAnsi="仿宋" w:eastAsia="仿宋" w:cs="仿宋"/>
                <w:b w:val="0"/>
                <w:kern w:val="2"/>
                <w:sz w:val="24"/>
                <w:szCs w:val="24"/>
                <w:vertAlign w:val="baseline"/>
                <w:lang w:val="en-US" w:eastAsia="zh-CN" w:bidi="ar-SA"/>
              </w:rPr>
              <w:t>预拌混凝土行业盲目发展。武胜县住建部门未出台县级专项规划，现有15家企业中仅3家符合市级规划要求，且15家均无合法用地手续，违规占地168亩。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5" w:type="dxa"/>
            <w:vAlign w:val="center"/>
          </w:tcPr>
          <w:p>
            <w:pPr>
              <w:spacing w:line="720" w:lineRule="exact"/>
              <w:jc w:val="center"/>
              <w:rPr>
                <w:rFonts w:hint="eastAsia" w:ascii="方正楷体_GBK" w:hAnsi="方正楷体_GBK" w:eastAsia="方正楷体_GBK" w:cs="方正楷体_GBK"/>
                <w:kern w:val="0"/>
                <w:sz w:val="28"/>
                <w:szCs w:val="28"/>
                <w:lang w:eastAsia="zh-CN"/>
              </w:rPr>
            </w:pPr>
            <w:r>
              <w:rPr>
                <w:rFonts w:hint="eastAsia" w:ascii="方正楷体_GBK" w:hAnsi="方正楷体_GBK" w:eastAsia="方正楷体_GBK" w:cs="方正楷体_GBK"/>
                <w:kern w:val="0"/>
                <w:sz w:val="28"/>
                <w:szCs w:val="28"/>
                <w:lang w:eastAsia="zh-CN"/>
              </w:rPr>
              <w:t>整改责任单位</w:t>
            </w:r>
          </w:p>
        </w:tc>
        <w:tc>
          <w:tcPr>
            <w:tcW w:w="6924" w:type="dxa"/>
            <w:vAlign w:val="center"/>
          </w:tcPr>
          <w:p>
            <w:pPr>
              <w:spacing w:line="320" w:lineRule="exact"/>
              <w:jc w:val="left"/>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武胜县委和武胜县人民政府</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15" w:type="dxa"/>
            <w:vAlign w:val="center"/>
          </w:tcPr>
          <w:p>
            <w:pPr>
              <w:spacing w:line="720" w:lineRule="exact"/>
              <w:jc w:val="center"/>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整改目标</w:t>
            </w:r>
          </w:p>
        </w:tc>
        <w:tc>
          <w:tcPr>
            <w:tcW w:w="6924" w:type="dxa"/>
            <w:vAlign w:val="center"/>
          </w:tcPr>
          <w:p>
            <w:pPr>
              <w:spacing w:line="320" w:lineRule="exact"/>
              <w:jc w:val="left"/>
              <w:rPr>
                <w:rFonts w:hint="eastAsia" w:eastAsia="方正仿宋_GBK"/>
                <w:color w:val="000000"/>
                <w:kern w:val="0"/>
                <w:sz w:val="24"/>
                <w:szCs w:val="24"/>
                <w:highlight w:val="green"/>
                <w:lang w:eastAsia="zh-CN"/>
              </w:rPr>
            </w:pPr>
            <w:r>
              <w:rPr>
                <w:rFonts w:hint="eastAsia" w:ascii="仿宋" w:hAnsi="仿宋" w:eastAsia="仿宋" w:cs="仿宋"/>
                <w:b w:val="0"/>
                <w:kern w:val="2"/>
                <w:sz w:val="24"/>
                <w:szCs w:val="24"/>
                <w:vertAlign w:val="baseline"/>
                <w:lang w:val="en-US" w:eastAsia="zh-CN" w:bidi="ar-SA"/>
              </w:rPr>
              <w:t>实现武胜县预拌混凝土行业规范有序发展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2215" w:type="dxa"/>
            <w:vAlign w:val="center"/>
          </w:tcPr>
          <w:p>
            <w:pPr>
              <w:spacing w:line="330" w:lineRule="exact"/>
              <w:jc w:val="center"/>
              <w:rPr>
                <w:rFonts w:hint="eastAsia"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整改措施</w:t>
            </w:r>
          </w:p>
        </w:tc>
        <w:tc>
          <w:tcPr>
            <w:tcW w:w="6924" w:type="dxa"/>
            <w:vAlign w:val="center"/>
          </w:tcPr>
          <w:p>
            <w:pPr>
              <w:spacing w:line="320" w:lineRule="exact"/>
              <w:jc w:val="both"/>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1.</w:t>
            </w:r>
            <w:r>
              <w:rPr>
                <w:rFonts w:hint="eastAsia" w:ascii="仿宋" w:hAnsi="仿宋" w:eastAsia="仿宋" w:cs="仿宋"/>
                <w:b w:val="0"/>
                <w:kern w:val="2"/>
                <w:sz w:val="24"/>
                <w:szCs w:val="24"/>
                <w:vertAlign w:val="baseline"/>
                <w:lang w:val="en-US" w:eastAsia="zh-CN" w:bidi="ar-SA"/>
              </w:rPr>
              <w:t>核实金鸿泰建材与成渝铁路是否符合安全保护距离。督促皓轩建材砂石加工项目严格按照环评要求建设污染防治设施并正常运行。</w:t>
            </w:r>
          </w:p>
          <w:p>
            <w:pPr>
              <w:numPr>
                <w:ilvl w:val="0"/>
                <w:numId w:val="0"/>
              </w:numPr>
              <w:spacing w:line="320" w:lineRule="exact"/>
              <w:jc w:val="both"/>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2.规范预拌混凝土生产企业市场准入、退出和生产经营行为。</w:t>
            </w:r>
          </w:p>
          <w:p>
            <w:pPr>
              <w:numPr>
                <w:ilvl w:val="0"/>
                <w:numId w:val="0"/>
              </w:numPr>
              <w:spacing w:line="320" w:lineRule="exact"/>
              <w:ind w:leftChars="0"/>
              <w:jc w:val="both"/>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vertAlign w:val="baseline"/>
                <w:lang w:val="en-US" w:eastAsia="zh-CN" w:bidi="ar-SA"/>
              </w:rPr>
              <w:t>3.</w:t>
            </w:r>
            <w:r>
              <w:rPr>
                <w:rFonts w:hint="eastAsia" w:ascii="仿宋" w:hAnsi="仿宋" w:eastAsia="仿宋" w:cs="仿宋"/>
                <w:b w:val="0"/>
                <w:kern w:val="2"/>
                <w:sz w:val="24"/>
                <w:szCs w:val="24"/>
                <w:vertAlign w:val="baseline"/>
                <w:lang w:val="en-US" w:eastAsia="zh-CN" w:bidi="ar-SA"/>
              </w:rPr>
              <w:t>取缔远平石材厂等9家环保设施不齐全、无资质、无相关手续的搅拌站</w:t>
            </w:r>
            <w:r>
              <w:rPr>
                <w:rFonts w:hint="eastAsia" w:ascii="仿宋" w:hAnsi="仿宋" w:eastAsia="仿宋" w:cs="仿宋"/>
                <w:b w:val="0"/>
                <w:bCs w:val="0"/>
                <w:kern w:val="2"/>
                <w:sz w:val="24"/>
                <w:szCs w:val="24"/>
                <w:vertAlign w:val="baseline"/>
                <w:lang w:val="en-US" w:eastAsia="zh-CN" w:bidi="ar-SA"/>
              </w:rPr>
              <w:t>；完善宝鑫建材、京武建材、万祥建材、金鸿泰建材4家经广安市级规划布点的预拌混凝土企业相关手续</w:t>
            </w:r>
            <w:r>
              <w:rPr>
                <w:rFonts w:hint="eastAsia" w:ascii="仿宋" w:hAnsi="仿宋" w:eastAsia="仿宋" w:cs="仿宋"/>
                <w:b w:val="0"/>
                <w:kern w:val="2"/>
                <w:sz w:val="24"/>
                <w:szCs w:val="24"/>
                <w:vertAlign w:val="baseline"/>
                <w:lang w:val="en-US" w:eastAsia="zh-CN" w:bidi="ar-SA"/>
              </w:rPr>
              <w:t>；规范华封镇顺发石材厂生产经营行为</w:t>
            </w:r>
            <w:r>
              <w:rPr>
                <w:rFonts w:hint="eastAsia" w:ascii="仿宋" w:hAnsi="仿宋" w:eastAsia="仿宋" w:cs="仿宋"/>
                <w:b w:val="0"/>
                <w:bCs w:val="0"/>
                <w:kern w:val="2"/>
                <w:sz w:val="24"/>
                <w:szCs w:val="24"/>
                <w:vertAlign w:val="baseline"/>
                <w:lang w:val="en-US" w:eastAsia="zh-CN" w:bidi="ar-SA"/>
              </w:rPr>
              <w:t>。</w:t>
            </w:r>
          </w:p>
          <w:p>
            <w:pPr>
              <w:numPr>
                <w:ilvl w:val="0"/>
                <w:numId w:val="0"/>
              </w:numPr>
              <w:spacing w:line="320" w:lineRule="exact"/>
              <w:ind w:leftChars="0"/>
              <w:jc w:val="both"/>
              <w:rPr>
                <w:rFonts w:hint="eastAsia" w:ascii="Times New Roman" w:hAnsi="Times New Roman" w:eastAsia="仿宋" w:cs="Times New Roman"/>
                <w:kern w:val="0"/>
                <w:sz w:val="24"/>
                <w:szCs w:val="24"/>
                <w:highlight w:val="green"/>
                <w:lang w:val="en-US" w:eastAsia="zh-CN"/>
              </w:rPr>
            </w:pPr>
            <w:r>
              <w:rPr>
                <w:rFonts w:hint="eastAsia" w:ascii="仿宋" w:hAnsi="仿宋" w:eastAsia="仿宋" w:cs="仿宋"/>
                <w:b w:val="0"/>
                <w:bCs w:val="0"/>
                <w:kern w:val="2"/>
                <w:sz w:val="24"/>
                <w:szCs w:val="24"/>
                <w:vertAlign w:val="baseline"/>
                <w:lang w:val="en-US" w:eastAsia="zh-CN" w:bidi="ar-SA"/>
              </w:rPr>
              <w:t>4.</w:t>
            </w:r>
            <w:r>
              <w:rPr>
                <w:rFonts w:hint="eastAsia" w:ascii="仿宋" w:hAnsi="仿宋" w:eastAsia="仿宋" w:cs="仿宋"/>
                <w:b w:val="0"/>
                <w:kern w:val="2"/>
                <w:sz w:val="24"/>
                <w:szCs w:val="24"/>
                <w:vertAlign w:val="baseline"/>
                <w:lang w:val="en-US" w:eastAsia="zh-CN" w:bidi="ar-SA"/>
              </w:rPr>
              <w:t>督促升钟水库二期高农分支渠（湖北大禹）搅拌站完成拆除工作。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2215" w:type="dxa"/>
            <w:vAlign w:val="center"/>
          </w:tcPr>
          <w:p>
            <w:pPr>
              <w:jc w:val="center"/>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整改主要工作</w:t>
            </w:r>
          </w:p>
          <w:p>
            <w:pPr>
              <w:spacing w:line="330" w:lineRule="exact"/>
              <w:jc w:val="center"/>
              <w:rPr>
                <w:rFonts w:hint="eastAsia" w:ascii="方正楷体_GBK" w:hAnsi="方正楷体_GBK" w:eastAsia="方正楷体_GBK" w:cs="方正楷体_GBK"/>
                <w:kern w:val="0"/>
                <w:sz w:val="28"/>
                <w:szCs w:val="28"/>
              </w:rPr>
            </w:pPr>
            <w:r>
              <w:rPr>
                <w:rFonts w:hint="eastAsia" w:ascii="方正黑体_GBK" w:hAnsi="方正黑体_GBK" w:eastAsia="方正黑体_GBK" w:cs="方正黑体_GBK"/>
                <w:b w:val="0"/>
                <w:bCs w:val="0"/>
                <w:sz w:val="24"/>
                <w:szCs w:val="24"/>
                <w:vertAlign w:val="baseline"/>
                <w:lang w:val="en-US" w:eastAsia="zh-CN"/>
              </w:rPr>
              <w:t>及成效</w:t>
            </w:r>
          </w:p>
        </w:tc>
        <w:tc>
          <w:tcPr>
            <w:tcW w:w="6924" w:type="dxa"/>
            <w:vAlign w:val="center"/>
          </w:tcPr>
          <w:p>
            <w:pPr>
              <w:numPr>
                <w:ilvl w:val="0"/>
                <w:numId w:val="0"/>
              </w:numPr>
              <w:spacing w:line="320" w:lineRule="exact"/>
              <w:jc w:val="left"/>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1.已核实金鸿泰建材与成渝铁路桥梁外侧最近距离为17米，符合《铁路安全管理条例》规定的15米距离要求；皓轩建材砂石加工项目已按照环评要求建设污染防治设施并正常运行。</w:t>
            </w:r>
          </w:p>
          <w:p>
            <w:pPr>
              <w:numPr>
                <w:ilvl w:val="0"/>
                <w:numId w:val="0"/>
              </w:numPr>
              <w:spacing w:line="320" w:lineRule="exact"/>
              <w:jc w:val="left"/>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2.制定了《武胜县预拌混凝土搅拌站管理办法（试行）》，规范预拌混凝土生产企业市场准入、退出和生产经营行为。</w:t>
            </w:r>
          </w:p>
          <w:p>
            <w:pPr>
              <w:numPr>
                <w:ilvl w:val="0"/>
                <w:numId w:val="0"/>
              </w:numPr>
              <w:spacing w:line="320" w:lineRule="exact"/>
              <w:ind w:leftChars="0"/>
              <w:jc w:val="left"/>
              <w:rPr>
                <w:rFonts w:hint="eastAsia"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3.已完成沿口镇远平石材厂等10家（含湖北大禹）无资质、无环评手续的预拌混凝土搅拌站违规占地约56.29亩设施设备的拆除工作；已完善宝鑫建材、万祥建材、京武建材、金鸿泰建材4家经“市级”规划布点的预拌混凝土企业土地约100.69亩等相关手续；已规范华封镇顺发石材厂生产经营行为，</w:t>
            </w:r>
            <w:r>
              <w:rPr>
                <w:rFonts w:hint="default" w:ascii="仿宋" w:hAnsi="仿宋" w:eastAsia="仿宋" w:cs="仿宋"/>
                <w:b w:val="0"/>
                <w:kern w:val="2"/>
                <w:sz w:val="24"/>
                <w:szCs w:val="24"/>
                <w:vertAlign w:val="baseline"/>
                <w:lang w:val="en-US" w:eastAsia="zh-CN" w:bidi="ar-SA"/>
              </w:rPr>
              <w:t>停止生产预拌混凝土产品</w:t>
            </w:r>
            <w:r>
              <w:rPr>
                <w:rFonts w:hint="eastAsia" w:ascii="仿宋" w:hAnsi="仿宋" w:eastAsia="仿宋" w:cs="仿宋"/>
                <w:b w:val="0"/>
                <w:kern w:val="2"/>
                <w:sz w:val="24"/>
                <w:szCs w:val="24"/>
                <w:vertAlign w:val="baseline"/>
                <w:lang w:val="en-US" w:eastAsia="zh-CN" w:bidi="ar-SA"/>
              </w:rPr>
              <w:t>。</w:t>
            </w:r>
          </w:p>
          <w:p>
            <w:pPr>
              <w:numPr>
                <w:ilvl w:val="0"/>
                <w:numId w:val="0"/>
              </w:numPr>
              <w:spacing w:line="320" w:lineRule="exact"/>
              <w:ind w:leftChars="0"/>
              <w:jc w:val="left"/>
              <w:rPr>
                <w:rFonts w:hint="default" w:ascii="仿宋" w:hAnsi="仿宋" w:eastAsia="仿宋" w:cs="仿宋"/>
                <w:b w:val="0"/>
                <w:kern w:val="2"/>
                <w:sz w:val="24"/>
                <w:szCs w:val="24"/>
                <w:vertAlign w:val="baseline"/>
                <w:lang w:val="en-US" w:eastAsia="zh-CN" w:bidi="ar-SA"/>
              </w:rPr>
            </w:pPr>
            <w:r>
              <w:rPr>
                <w:rFonts w:hint="eastAsia" w:ascii="仿宋" w:hAnsi="仿宋" w:eastAsia="仿宋" w:cs="仿宋"/>
                <w:b w:val="0"/>
                <w:kern w:val="2"/>
                <w:sz w:val="24"/>
                <w:szCs w:val="24"/>
                <w:vertAlign w:val="baseline"/>
                <w:lang w:val="en-US" w:eastAsia="zh-CN" w:bidi="ar-SA"/>
              </w:rPr>
              <w:t>4.已完成升钟水库二期高农分支渠（湖北大禹）、江世云搅拌站违规占地8.1亩的复垦工作。</w:t>
            </w:r>
          </w:p>
        </w:tc>
      </w:tr>
    </w:tbl>
    <w:p>
      <w:pPr>
        <w:numPr>
          <w:ilvl w:val="0"/>
          <w:numId w:val="0"/>
        </w:numPr>
        <w:rPr>
          <w:rFonts w:hint="default"/>
          <w:color w:val="FF0000"/>
          <w:lang w:val="en-US" w:eastAsia="zh-CN"/>
        </w:rPr>
      </w:pPr>
    </w:p>
    <w:sectPr>
      <w:headerReference r:id="rId4" w:type="first"/>
      <w:footerReference r:id="rId6" w:type="first"/>
      <w:headerReference r:id="rId3" w:type="default"/>
      <w:footerReference r:id="rId5" w:type="default"/>
      <w:pgSz w:w="11906" w:h="16838"/>
      <w:pgMar w:top="1134" w:right="1474" w:bottom="1928" w:left="1588" w:header="851" w:footer="992" w:gutter="0"/>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mNiOThkZGM0NWJhZGU2YTVlMzhjNDgzOGJkNjkifQ=="/>
  </w:docVars>
  <w:rsids>
    <w:rsidRoot w:val="00E66DFC"/>
    <w:rsid w:val="000005B0"/>
    <w:rsid w:val="00000712"/>
    <w:rsid w:val="00001E6E"/>
    <w:rsid w:val="00001F01"/>
    <w:rsid w:val="0001678D"/>
    <w:rsid w:val="00106035"/>
    <w:rsid w:val="0012669C"/>
    <w:rsid w:val="00133A8F"/>
    <w:rsid w:val="00184B57"/>
    <w:rsid w:val="00191280"/>
    <w:rsid w:val="001E3F07"/>
    <w:rsid w:val="00237C05"/>
    <w:rsid w:val="002A61D1"/>
    <w:rsid w:val="002F0D98"/>
    <w:rsid w:val="00312F68"/>
    <w:rsid w:val="003168FD"/>
    <w:rsid w:val="003350EF"/>
    <w:rsid w:val="004326E6"/>
    <w:rsid w:val="00436AB2"/>
    <w:rsid w:val="004441E2"/>
    <w:rsid w:val="004576DF"/>
    <w:rsid w:val="004D2F51"/>
    <w:rsid w:val="004F7795"/>
    <w:rsid w:val="00511AEF"/>
    <w:rsid w:val="00563BE6"/>
    <w:rsid w:val="0056590B"/>
    <w:rsid w:val="00577A78"/>
    <w:rsid w:val="005A07E6"/>
    <w:rsid w:val="005A698C"/>
    <w:rsid w:val="005C5AA2"/>
    <w:rsid w:val="005F09D2"/>
    <w:rsid w:val="00610A36"/>
    <w:rsid w:val="00616BE3"/>
    <w:rsid w:val="006205BE"/>
    <w:rsid w:val="006213B3"/>
    <w:rsid w:val="00644FF7"/>
    <w:rsid w:val="00680EB0"/>
    <w:rsid w:val="006850D6"/>
    <w:rsid w:val="006D3E9B"/>
    <w:rsid w:val="006D5303"/>
    <w:rsid w:val="006E6B6D"/>
    <w:rsid w:val="007067B7"/>
    <w:rsid w:val="007432E9"/>
    <w:rsid w:val="0075295D"/>
    <w:rsid w:val="007632F7"/>
    <w:rsid w:val="00774447"/>
    <w:rsid w:val="00785317"/>
    <w:rsid w:val="007D4CC3"/>
    <w:rsid w:val="007F14A5"/>
    <w:rsid w:val="0080487E"/>
    <w:rsid w:val="0081470E"/>
    <w:rsid w:val="00884F2A"/>
    <w:rsid w:val="008D1A46"/>
    <w:rsid w:val="008D3DD1"/>
    <w:rsid w:val="008E4ADC"/>
    <w:rsid w:val="008F297A"/>
    <w:rsid w:val="009354BA"/>
    <w:rsid w:val="00976C24"/>
    <w:rsid w:val="009A19A9"/>
    <w:rsid w:val="009A2213"/>
    <w:rsid w:val="009A4FBB"/>
    <w:rsid w:val="00A45D01"/>
    <w:rsid w:val="00AA3561"/>
    <w:rsid w:val="00AD67AE"/>
    <w:rsid w:val="00B4442B"/>
    <w:rsid w:val="00B64290"/>
    <w:rsid w:val="00C3622C"/>
    <w:rsid w:val="00C5426E"/>
    <w:rsid w:val="00C7164C"/>
    <w:rsid w:val="00CB00CA"/>
    <w:rsid w:val="00CE71A5"/>
    <w:rsid w:val="00D07BB3"/>
    <w:rsid w:val="00D133F9"/>
    <w:rsid w:val="00D449EF"/>
    <w:rsid w:val="00D60F13"/>
    <w:rsid w:val="00D83DFE"/>
    <w:rsid w:val="00DA7B59"/>
    <w:rsid w:val="00DC0BAA"/>
    <w:rsid w:val="00DD478E"/>
    <w:rsid w:val="00E66DFC"/>
    <w:rsid w:val="00EB058C"/>
    <w:rsid w:val="00EB5361"/>
    <w:rsid w:val="00EB7323"/>
    <w:rsid w:val="00EF1F26"/>
    <w:rsid w:val="00F31CF3"/>
    <w:rsid w:val="00FA25F4"/>
    <w:rsid w:val="00FC0E73"/>
    <w:rsid w:val="024A7A8D"/>
    <w:rsid w:val="024C4069"/>
    <w:rsid w:val="028B18FB"/>
    <w:rsid w:val="02B32F76"/>
    <w:rsid w:val="044F1473"/>
    <w:rsid w:val="0455186A"/>
    <w:rsid w:val="045C1229"/>
    <w:rsid w:val="05486CD8"/>
    <w:rsid w:val="06764D6F"/>
    <w:rsid w:val="07AB752C"/>
    <w:rsid w:val="0AC60D10"/>
    <w:rsid w:val="0AFE1C3C"/>
    <w:rsid w:val="0DF6210A"/>
    <w:rsid w:val="104D3DF0"/>
    <w:rsid w:val="10662B47"/>
    <w:rsid w:val="10F728E1"/>
    <w:rsid w:val="114D0F4A"/>
    <w:rsid w:val="14306E1C"/>
    <w:rsid w:val="14E81932"/>
    <w:rsid w:val="156D5FF0"/>
    <w:rsid w:val="17B8298A"/>
    <w:rsid w:val="1832478D"/>
    <w:rsid w:val="187F5083"/>
    <w:rsid w:val="1BAD271A"/>
    <w:rsid w:val="1C6A185F"/>
    <w:rsid w:val="1EEF5DD0"/>
    <w:rsid w:val="1FED451A"/>
    <w:rsid w:val="1FFB5646"/>
    <w:rsid w:val="24637FE1"/>
    <w:rsid w:val="24EF5C2F"/>
    <w:rsid w:val="24FD3257"/>
    <w:rsid w:val="26095C59"/>
    <w:rsid w:val="27B60D5F"/>
    <w:rsid w:val="28061F74"/>
    <w:rsid w:val="296F1AE1"/>
    <w:rsid w:val="2A0B3969"/>
    <w:rsid w:val="2A1E67D6"/>
    <w:rsid w:val="2BE01889"/>
    <w:rsid w:val="2BF654E8"/>
    <w:rsid w:val="2CA50E5D"/>
    <w:rsid w:val="2D087D37"/>
    <w:rsid w:val="2FBD5011"/>
    <w:rsid w:val="302F7E9F"/>
    <w:rsid w:val="32AD08DB"/>
    <w:rsid w:val="33993C45"/>
    <w:rsid w:val="33BC307B"/>
    <w:rsid w:val="3551207A"/>
    <w:rsid w:val="361A2668"/>
    <w:rsid w:val="36272BF4"/>
    <w:rsid w:val="363F1D79"/>
    <w:rsid w:val="365039B8"/>
    <w:rsid w:val="36A35AD6"/>
    <w:rsid w:val="36BF12C0"/>
    <w:rsid w:val="37263197"/>
    <w:rsid w:val="38F207CE"/>
    <w:rsid w:val="3AB16A39"/>
    <w:rsid w:val="3BEF20B5"/>
    <w:rsid w:val="3C914E43"/>
    <w:rsid w:val="3CB47E9B"/>
    <w:rsid w:val="3CB94DCD"/>
    <w:rsid w:val="3F0E5B16"/>
    <w:rsid w:val="3F17CF36"/>
    <w:rsid w:val="3F5042D4"/>
    <w:rsid w:val="40CF2183"/>
    <w:rsid w:val="41EB1DEA"/>
    <w:rsid w:val="422C5607"/>
    <w:rsid w:val="42C36743"/>
    <w:rsid w:val="42E87780"/>
    <w:rsid w:val="453C015F"/>
    <w:rsid w:val="45DB254B"/>
    <w:rsid w:val="473F178E"/>
    <w:rsid w:val="49D378EA"/>
    <w:rsid w:val="49E10534"/>
    <w:rsid w:val="49E123F5"/>
    <w:rsid w:val="4C070712"/>
    <w:rsid w:val="4D853C81"/>
    <w:rsid w:val="4E9E7A12"/>
    <w:rsid w:val="4FF77C91"/>
    <w:rsid w:val="50042239"/>
    <w:rsid w:val="524F412A"/>
    <w:rsid w:val="526D1B7A"/>
    <w:rsid w:val="5272710C"/>
    <w:rsid w:val="52F65C0D"/>
    <w:rsid w:val="54355E39"/>
    <w:rsid w:val="54671E67"/>
    <w:rsid w:val="54F75F49"/>
    <w:rsid w:val="5501189F"/>
    <w:rsid w:val="55C013D0"/>
    <w:rsid w:val="564E19AE"/>
    <w:rsid w:val="56DA3510"/>
    <w:rsid w:val="576C4B3D"/>
    <w:rsid w:val="579F3BD2"/>
    <w:rsid w:val="587B56B9"/>
    <w:rsid w:val="59AA02BF"/>
    <w:rsid w:val="59BBB3AD"/>
    <w:rsid w:val="5A186F04"/>
    <w:rsid w:val="5AC0405C"/>
    <w:rsid w:val="5B361F81"/>
    <w:rsid w:val="5BAF46A4"/>
    <w:rsid w:val="5C140AA0"/>
    <w:rsid w:val="5D9D6026"/>
    <w:rsid w:val="5F5B15E9"/>
    <w:rsid w:val="5F5C0148"/>
    <w:rsid w:val="60E2153B"/>
    <w:rsid w:val="61162584"/>
    <w:rsid w:val="62793212"/>
    <w:rsid w:val="6549707A"/>
    <w:rsid w:val="660C3DDF"/>
    <w:rsid w:val="668138AB"/>
    <w:rsid w:val="687166BD"/>
    <w:rsid w:val="68C72A3A"/>
    <w:rsid w:val="6ACC71FA"/>
    <w:rsid w:val="6B2B4BF7"/>
    <w:rsid w:val="6CFA588B"/>
    <w:rsid w:val="6D080DBA"/>
    <w:rsid w:val="6D9D67C2"/>
    <w:rsid w:val="6EAA6B44"/>
    <w:rsid w:val="6F6E213B"/>
    <w:rsid w:val="6FF21983"/>
    <w:rsid w:val="70891400"/>
    <w:rsid w:val="718F4267"/>
    <w:rsid w:val="73D24084"/>
    <w:rsid w:val="7440452A"/>
    <w:rsid w:val="74F763B2"/>
    <w:rsid w:val="74FE1362"/>
    <w:rsid w:val="759B30ED"/>
    <w:rsid w:val="77821E41"/>
    <w:rsid w:val="78A73DC0"/>
    <w:rsid w:val="78A8327E"/>
    <w:rsid w:val="79E82CC5"/>
    <w:rsid w:val="7A4C109C"/>
    <w:rsid w:val="7D9E235C"/>
    <w:rsid w:val="7E487708"/>
    <w:rsid w:val="7F9B4264"/>
    <w:rsid w:val="DBE5312A"/>
    <w:rsid w:val="ED838A49"/>
    <w:rsid w:val="F08C0338"/>
    <w:rsid w:val="FFF8E82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Body Text 2"/>
    <w:basedOn w:val="1"/>
    <w:qFormat/>
    <w:uiPriority w:val="0"/>
    <w:pPr>
      <w:spacing w:after="120" w:line="480" w:lineRule="auto"/>
      <w:ind w:firstLine="560" w:firstLineChars="200"/>
    </w:pPr>
  </w:style>
  <w:style w:type="table" w:styleId="8">
    <w:name w:val="Table Grid"/>
    <w:basedOn w:val="7"/>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2"/>
    <w:basedOn w:val="1"/>
    <w:next w:val="1"/>
    <w:qFormat/>
    <w:uiPriority w:val="0"/>
    <w:rPr>
      <w:rFonts w:ascii="仿宋_GB2312" w:hAnsi="Calibri" w:eastAsia="仿宋_GB2312" w:cs="宋体"/>
      <w:sz w:val="32"/>
      <w:szCs w:val="20"/>
    </w:rPr>
  </w:style>
  <w:style w:type="character" w:customStyle="1" w:styleId="11">
    <w:name w:val="Balloon Text Char"/>
    <w:basedOn w:val="9"/>
    <w:link w:val="3"/>
    <w:semiHidden/>
    <w:qFormat/>
    <w:locked/>
    <w:uiPriority w:val="99"/>
    <w:rPr>
      <w:rFonts w:ascii="Times New Roman" w:hAnsi="Times New Roman" w:eastAsia="宋体" w:cs="Times New Roman"/>
      <w:sz w:val="18"/>
      <w:szCs w:val="18"/>
    </w:rPr>
  </w:style>
  <w:style w:type="character" w:customStyle="1" w:styleId="12">
    <w:name w:val="Footer Char"/>
    <w:basedOn w:val="9"/>
    <w:link w:val="4"/>
    <w:qFormat/>
    <w:locked/>
    <w:uiPriority w:val="99"/>
    <w:rPr>
      <w:rFonts w:cs="Times New Roman"/>
      <w:sz w:val="18"/>
      <w:szCs w:val="18"/>
    </w:rPr>
  </w:style>
  <w:style w:type="character" w:customStyle="1" w:styleId="13">
    <w:name w:val="Header Char"/>
    <w:basedOn w:val="9"/>
    <w:link w:val="5"/>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1</Pages>
  <Words>667</Words>
  <Characters>693</Characters>
  <Lines>0</Lines>
  <Paragraphs>0</Paragraphs>
  <TotalTime>2</TotalTime>
  <ScaleCrop>false</ScaleCrop>
  <LinksUpToDate>false</LinksUpToDate>
  <CharactersWithSpaces>693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2018-03-15T03:15:00Z</dcterms:created>
  <dc:creator>甘晓英</dc:creator>
  <cp:lastModifiedBy>kylin</cp:lastModifiedBy>
  <cp:lastPrinted>2018-03-29T01:27:00Z</cp:lastPrinted>
  <dcterms:modified xsi:type="dcterms:W3CDTF">2025-07-08T14:36:45Z</dcterms:modified>
  <dc:title>关于印发《广安市落实中央环境保护督察反馈意见整改销号工作办法》的通知</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5D7227C46EA84C2381FBAA131C58C706_13</vt:lpwstr>
  </property>
  <property fmtid="{D5CDD505-2E9C-101B-9397-08002B2CF9AE}" pid="4" name="KSOTemplateDocerSaveRecord">
    <vt:lpwstr>eyJoZGlkIjoiM2ZlYjcwNWY5ZWExZmNkYTg1YTRkMzE5NzkxYThmNTQiLCJ1c2VySWQiOiIyMjM0NDE4MjgifQ==</vt:lpwstr>
  </property>
</Properties>
</file>