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0" w:lineRule="atLeast"/>
        <w:ind w:left="0" w:right="0"/>
        <w:jc w:val="both"/>
        <w:rPr>
          <w:rFonts w:ascii="Calibri" w:hAnsi="Calibri" w:cs="Calibri"/>
          <w:sz w:val="33"/>
          <w:szCs w:val="33"/>
        </w:rPr>
      </w:pPr>
      <w:r>
        <w:rPr>
          <w:rFonts w:ascii="方正黑体_GBK" w:hAnsi="方正黑体_GBK" w:eastAsia="方正黑体_GBK" w:cs="方正黑体_GBK"/>
          <w:sz w:val="33"/>
          <w:szCs w:val="33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/>
        <w:jc w:val="center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同城融圈第二轮交通三年大会战实施方案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0" w:lineRule="atLeast"/>
        <w:ind w:left="0" w:right="0"/>
        <w:jc w:val="center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color w:val="000000"/>
          <w:sz w:val="33"/>
          <w:szCs w:val="33"/>
        </w:rPr>
        <w:t>（</w:t>
      </w:r>
      <w:r>
        <w:rPr>
          <w:rFonts w:ascii="方正楷体_GBK" w:hAnsi="方正楷体_GBK" w:eastAsia="方正楷体_GBK" w:cs="方正楷体_GBK"/>
          <w:color w:val="000000"/>
          <w:sz w:val="33"/>
          <w:szCs w:val="33"/>
        </w:rPr>
        <w:t>征求意见稿</w:t>
      </w:r>
      <w:r>
        <w:rPr>
          <w:rFonts w:hint="default" w:ascii="Times New Roman" w:hAnsi="Times New Roman" w:cs="Times New Roman"/>
          <w:color w:val="000000"/>
          <w:sz w:val="33"/>
          <w:szCs w:val="33"/>
        </w:rPr>
        <w:t>）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color w:val="000000"/>
          <w:sz w:val="33"/>
          <w:szCs w:val="33"/>
        </w:rPr>
        <w:t>为进一步抢抓国家战略腹地建设、成渝地区双城经济圈建设、高质量共建“</w:t>
      </w:r>
      <w:bookmarkStart w:id="0" w:name="_GoBack"/>
      <w:r>
        <w:rPr>
          <w:rFonts w:hint="default" w:ascii="Times New Roman" w:hAnsi="Times New Roman" w:cs="Times New Roman"/>
          <w:color w:val="000000"/>
          <w:sz w:val="33"/>
          <w:szCs w:val="33"/>
          <w:highlight w:val="none"/>
        </w:rPr>
        <w:t>一带一路</w:t>
      </w:r>
      <w:bookmarkEnd w:id="0"/>
      <w:r>
        <w:rPr>
          <w:rFonts w:hint="default" w:ascii="Times New Roman" w:hAnsi="Times New Roman" w:cs="Times New Roman"/>
          <w:color w:val="000000"/>
          <w:sz w:val="33"/>
          <w:szCs w:val="33"/>
        </w:rPr>
        <w:t>”、长江经济带发展和新时代西部大开发等战略机遇，巩固同城融圈第一轮交通三年大会战成果，加快构建现代化综合立体交通体系，根据《中共广安市委 广安市人民政府关于印发〈同城融圈第二轮交通三年大会战实施方案〉的通知》（广委发〔2025〕3号）精神，结合武胜实际，特制定如下实施方案。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一、工作目标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Calibri" w:hAnsi="Calibri" w:cs="Calibri"/>
          <w:sz w:val="33"/>
          <w:szCs w:val="33"/>
        </w:rPr>
        <w:t>以习近平新时代中国特色社会主义思想为指导，深入贯彻落实党的</w:t>
      </w:r>
      <w:r>
        <w:rPr>
          <w:rFonts w:hint="default" w:ascii="Calibri" w:hAnsi="Calibri" w:cs="Calibri"/>
          <w:sz w:val="33"/>
          <w:szCs w:val="33"/>
          <w:highlight w:val="none"/>
        </w:rPr>
        <w:t>二十大</w:t>
      </w:r>
      <w:r>
        <w:rPr>
          <w:rFonts w:hint="default" w:ascii="Calibri" w:hAnsi="Calibri" w:cs="Calibri"/>
          <w:sz w:val="33"/>
          <w:szCs w:val="33"/>
        </w:rPr>
        <w:t>和二十届二中、三中全会以及省委十二届、市委六届、县委十三届历次全会精神，紧紧围绕同城融圈、优镇兴乡、品质主导、产业支撑“四大战略”部署，深化渝武交通一体化发展，补齐交通短板、优化运输结构，推动物流降本增效，进一步提升区位优势，加快构建安全、便捷、高效、绿色、经济、包容、韧性的现代化综合交通体系。2025—2027年，完成综合交通投资41亿元，基本形成“1+4+6+1”（1条铁路+4条高速+6条国省道+1条航道）同城融圈、链接双核、融通全国的现代综合交通运输网络，实现半小时至周边城市、1小时至重庆主城区、2小时至成都都市圈、4小时至长三角城市群，基本建成重庆都市圈北向重要交通节点，交通服务经济社会发展能力显著增强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二、重点任务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（一）融汇立体交通，推动基础设施上台阶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高速加密。加密川渝省际通道，完善</w:t>
      </w:r>
      <w:r>
        <w:rPr>
          <w:rFonts w:hint="default" w:ascii="Times New Roman" w:hAnsi="Times New Roman" w:cs="Times New Roman"/>
          <w:color w:val="000000"/>
          <w:sz w:val="33"/>
          <w:szCs w:val="33"/>
        </w:rPr>
        <w:t>“两纵两横”高速公路网。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2025年建成G75兰海高速武胜北互通，开工建设广安绕城高速西段；加快武胜经潼南至安居高速公路前期工作。2025—2027年，高速公路建设完成投资22亿元。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综合枢纽增效。完善运输基础设施，提升综合运输“硬实力”。建设国道350武胜段公交站台；建设城区公共停车场；建设特色集镇综合运输服务站；实施智慧停车及运营车辆更新升级；畅通万善物流园区连接通道，提升物流园区枢纽链接能力，更好实现人畅行、物畅流。2025—2027年，综合枢纽建设完成投资0.7563亿元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（二）贯通国省干道，实现同城融圈再深入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干线路网织密。紧抓“两重”政策机遇，提升县域交通建设服务国家重大战略能力。加快建设G350线广安枣山至武胜段、S526武胜县赛马至胜利（川渝界）段，加快推进G212武胜县烈面（南充界）至万隆（川渝界）段、S316武胜县礼安（岳池界）至赛马（遂宁界）段、武胜龙女湖大桥前期工作，进一步发挥武胜同城融圈桥头堡优势，提升连接渝广、融通双圈交通效能。2025—2027年，干线公路建设完成投资4.3亿元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产业融合紧密。聚焦“产业支撑”战略，打造“交通+”新质建设发展模式，拓宽交通带动力。加快实施武胜县C</w:t>
      </w:r>
      <w:r>
        <w:rPr>
          <w:rFonts w:ascii="方正仿宋_GBK" w:hAnsi="方正仿宋_GBK" w:eastAsia="方正仿宋_GBK" w:cs="方正仿宋_GBK"/>
          <w:b w:val="0"/>
          <w:color w:val="000000"/>
          <w:sz w:val="33"/>
          <w:szCs w:val="33"/>
        </w:rPr>
        <w:t>O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67-C97Q嘉陵江沿江旅游公路（永寿寺段）新改建工程、X089沿中路（文龙村至天印村）段改建工程、嘉陵江沿线道路工程建设项目-滨江路北段、S206线武胜县境内段（含嘉陵江大桥）公路、S203武胜县三溪（岳池界）至鼓匠段、S203武胜县鼓匠至万善段、嘉陵江沿线道路工程建设项目-汉初大道等交旅融合项目，挖掘利用嘉陵江沿线生态、文旅深层资源，优化拓展交旅生态发展廊道，提升路域经济发展动能。2025—2027年，融合项目建设完成投资8.85亿元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（三）优化便民出行，连接渝武群众更贴心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农村公路提质。持续深化运用“四好农村路”全国示范县创建成果，提升农村公路服务水平和通达深度，构建“畅乡、通村、达组”的农村公路网络。推进服务乡村振兴和城乡融合发展工程，实施农村公路等级提升、美丽乡村旅游路、乡村振兴产业路等154公里；推进农村公路延伸工程，通组公路建设；加快渝武毗邻乡镇“路网缝合”，架起惠及渝武两地群众的“连心桥”；常态实施公路养护；整治危桥8座。2025—2027年，农村公路建设完成投资4.61亿元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（四）提升运输质效，服务百姓出行增实惠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基础建设更实。开展绿色低碳交通工具配套设施更新，建设智慧交通管理平台，充分运用信息化技术创新行业监管和服务手段，加快构建智慧运输体系，全面提升道路运输监管效能和公共服务品质。2025—2027年，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3"/>
          <w:szCs w:val="33"/>
        </w:rPr>
        <w:t>水运和信息化及交通运输设备更新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完成投资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3"/>
          <w:szCs w:val="33"/>
        </w:rPr>
        <w:t>0.4837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亿元。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客运服务更优。持续优化公交科学规划、稳定开行能力，推行精细服务，增强综合运输“软实力”。持续优化跨省域公共交通服务，常态化运营武胜万善至合川七间跨省公交，开通武胜乐善至合川沙鱼川渝跨省域公交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物流效能更强。实施“快递进村”专项行动，积极发展农村快递业务，拓展农产品销售渠道，增加农民收入。有效解决农村地区群众用邮不便的问题，增强人民群众文化获得感、幸福感。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（五）深化改革增效，谱写行业治理新篇章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深化交通建设投融资改革。建立健全交通运输投融资机制，创新实施模式，按规定整合有关资金统筹用于交通建设，强化大会战项目资金保障。广泛吸纳各类社会资本参与重点交通项目建设。积极申报国债，争取专项债券、基金、财政补助等资金用于项目建设。加强政银企对接，争取金融机构支持，用好“路易贷”等金融产品，强化交通建设信贷支持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深化公路管养体制改革。探索普通公路管养市场化改革，强化公路预防性养护，合理安排大中修工程，保持公路路况水平优良。深化农村公路管理养护体制改革，全面落实县乡村三级“路长制”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3"/>
          <w:szCs w:val="33"/>
        </w:rPr>
        <w:t>，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健全管理责任体系和运行机制，加快养护工程市场化进程。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深化渝武交通运输执法协作改革。进一步完善渝武两地交通运输执法领域协作机制、数字化监管、联勤联动、人才交流，实现信息共享、标准统一、证据互通、结果互认，积极探索跨区域协同治理新机制、新模式，打造渝武共建共管共治的一体化交通运输治理格局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深化交通数智化改革。大力发展交通新质生产力，推动交通行业与大数据、5G等新技术融合发展，做强交通运行监测与应急指挥系统。加快实施“大蜀道”主骨架交通基础设施数字化转型升级，推动铁路、公路、航运等智慧交通示范应用。加强新技术、新工艺、新材料、新设备推广应用，在公共信息服务、交通运行监测等领域实现有效突破，提升行业管理、旅客出行、物流运输等服务的信息化水平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深化运输领域政务服务改革。做好客货运输领域电子证照互认、客货运和道路运输相关业务“高效办成一件事”等工作协同，充分发挥政务服务运输提质效能。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（六）筑牢底线工作，实现安全发展强担当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推动平安交通建设。坚决扛起“保一方平安”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3"/>
          <w:szCs w:val="33"/>
        </w:rPr>
        <w:t>的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政治责任，深入推进安全生产治本攻坚三年行动，加快完善风险防控体系，加强防灾减灾救灾能力建设，强化应对重大风险挑战能力，提升交通运输本质安全水平。完善社会稳定风险评估制度，做好行业矛盾纠纷化解，规范交通运输市场经营行为，保护从业人员合法权益，维护行业和谐稳定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推动绿色交通建设。将生态环境保护理念贯穿交通基础设施规划、建设、运营和维护全过程。推进交通运输低碳转型，鼓励引导绿色低碳出行，加强在城市公交、巡游出租车、城市物流配送等领域新能源汽车推广应用，推动船舶电动化替代，完善普通公路、客运枢纽充电设施。持续深入开展汽车维修、建设工地、路域环境、港口船舶等污染防治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推动清廉交通建设。全面落实“清廉交通”建设的相关要求，加强“清廉交通”建设顶层设计及载体创新，通过开展“廉洁机关、廉洁项目、廉洁运输、廉洁执法”等活动，推动清廉文化上公路、航道、船闸，进码头、道班、工地。探索与重庆联合开展“党建+建管养运安”系列活动，布局打造货运、网约车、快递业等党群服务阵地，持续夯实“两个覆盖”工作基础，全面提升行业治理水平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三、实施时序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（一）2025年，打响同城融圈交通突破战，完成综合交通运输投资18.</w:t>
      </w:r>
      <w:r>
        <w:rPr>
          <w:rStyle w:val="7"/>
          <w:rFonts w:hint="eastAsia" w:ascii="方正楷体_GBK" w:hAnsi="方正楷体_GBK" w:eastAsia="方正楷体_GBK" w:cs="方正楷体_GBK"/>
          <w:b/>
          <w:color w:val="000000"/>
          <w:sz w:val="33"/>
          <w:szCs w:val="33"/>
        </w:rPr>
        <w:t>31</w:t>
      </w: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亿元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1.建成G350线广安枣山至武胜段、G75兰海高速公路武胜北互通；2.开工建设广安绕城高速西段、CO67-C97Q嘉陵江沿江公路（永寿寺段）、嘉陵江沿线-滨江路北段、嘉陵江沿线-汉初大道；3.加快建设S526武胜县赛马至胜利（川渝界）段等项目；4.加快启动G212武胜县烈面（南充界）至万隆（川渝界）段、S316武胜县礼安（岳池界）至赛马（遂宁界）段、武胜龙女湖大桥前期工作；5.继续开展农村公路提质行动；6.实施绿色低碳交通工具及配套设施更新项目（一期）、国道350武胜段公交站台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3"/>
          <w:szCs w:val="33"/>
        </w:rPr>
        <w:t>等项目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（二）2026年，打好同城融圈交通冲锋战，完成综合交通运输投资13.58亿元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1.建成S526武胜县赛马至胜利（川渝界）段、CO67-C97Q嘉陵江沿江公路（永寿寺段）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3"/>
          <w:szCs w:val="33"/>
        </w:rPr>
        <w:t>等项目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；2.加快建设广安绕城高速西段、嘉陵江沿线-滨江路北段；3.加快G212武胜县烈面（南充界）至万隆（川渝界）段、S316武胜县礼安（岳池界）至赛马（遂宁界）段、武胜龙女湖大桥前期工作；4.农村公路提质取得阶段性成果；5.开工建设桐子壕库区锚地；6.持续推进同城融圈公共服务可感可及事项，进一步扩围跨省公交线路，优化渝武定制客运服务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Calibri" w:hAnsi="Calibri" w:cs="Calibri"/>
          <w:sz w:val="33"/>
          <w:szCs w:val="33"/>
        </w:rPr>
      </w:pPr>
      <w:r>
        <w:rPr>
          <w:rStyle w:val="7"/>
          <w:rFonts w:hint="default" w:ascii="Times New Roman" w:hAnsi="Times New Roman" w:cs="Times New Roman"/>
          <w:b/>
          <w:color w:val="000000"/>
          <w:sz w:val="33"/>
          <w:szCs w:val="33"/>
        </w:rPr>
        <w:t>（三）2027年，打赢同城融圈交通决胜战，完成综合交通运输投资9.11亿元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1.建成桐子壕库区锚地等项目；2.开工建设G212武胜县烈面（南充界）至万隆（川渝界）段、S316武胜县礼安（岳池界）至赛马（遂宁界）段、武胜龙女湖大桥、X089沿中路；3.加快建设广安绕城高速西段；4.深入实施同城融圈公共服务可感可及事项，满足条件的渝武毗邻乡镇基本实现跨省公交覆盖，群众满意度、获得感全面提升；5.基本形成链接双核、融通双圈、通达全国的现代高效交通运输网络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四、保障措施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ascii="楷体" w:hAnsi="楷体" w:eastAsia="楷体" w:cs="楷体"/>
          <w:sz w:val="33"/>
          <w:szCs w:val="33"/>
        </w:rPr>
      </w:pPr>
      <w:r>
        <w:rPr>
          <w:rStyle w:val="7"/>
          <w:rFonts w:hint="default" w:ascii="Times New Roman" w:hAnsi="Times New Roman" w:eastAsia="楷体" w:cs="Times New Roman"/>
          <w:b/>
          <w:color w:val="000000"/>
          <w:sz w:val="33"/>
          <w:szCs w:val="33"/>
        </w:rPr>
        <w:t>（一）加强统筹协调。</w:t>
      </w:r>
      <w:r>
        <w:rPr>
          <w:rFonts w:hint="default" w:ascii="Times New Roman" w:hAnsi="Times New Roman" w:eastAsia="楷体" w:cs="Times New Roman"/>
          <w:b w:val="0"/>
          <w:color w:val="000000"/>
          <w:sz w:val="33"/>
          <w:szCs w:val="33"/>
        </w:rPr>
        <w:t>优化完善同城融圈交通三年大会战工作机制，固化延续第一轮大会战经验做法，建立交通项目推进一张图，横向定人定责任、纵向定时定进度，县委县政府每月调度，协调解决重要问题，强化跟踪分析；县交通运输局每周会商，听情况、定计划、疏堵点，挂图作战、挂帅出征、挂责问效，确保第二轮交通三年大会战扎实高效推进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楷体" w:hAnsi="楷体" w:eastAsia="楷体" w:cs="楷体"/>
          <w:sz w:val="33"/>
          <w:szCs w:val="33"/>
        </w:rPr>
      </w:pPr>
      <w:r>
        <w:rPr>
          <w:rFonts w:hint="default" w:ascii="楷体" w:hAnsi="楷体" w:eastAsia="楷体" w:cs="楷体"/>
          <w:sz w:val="33"/>
          <w:szCs w:val="33"/>
        </w:rPr>
        <w:t>（二）压实工作责任。各部门要增强大局意识、责任意识，主动作为、合力攻坚。县交通运输局要充分发挥牵头统筹作用，加快推进公路、水运项目实施；县发展改革局做好项目立项审查、批复工作，督促指导项目招投标工作；县自然资源规划局依法做好项目建设用地保障，督促指导建设单位开展用地预审、规划选址、用地报批工作；县财政局强化资金统筹保障；县住房城乡建设局、县水务局、县农业农村局、县经济和信息化局、县公安局、县行政审批局、县应急管理局、县人力资源社会保障局、武胜生态环境局等按照部门职责各司其职、各负其责，围绕第二轮交通三年大会战项目计划清单，分类建立支持事项台账，推动各项目标任务落实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楷体" w:hAnsi="楷体" w:eastAsia="楷体" w:cs="楷体"/>
          <w:sz w:val="33"/>
          <w:szCs w:val="33"/>
        </w:rPr>
      </w:pPr>
      <w:r>
        <w:rPr>
          <w:rStyle w:val="7"/>
          <w:rFonts w:hint="default" w:ascii="Times New Roman" w:hAnsi="Times New Roman" w:eastAsia="楷体" w:cs="Times New Roman"/>
          <w:b/>
          <w:color w:val="000000"/>
          <w:sz w:val="33"/>
          <w:szCs w:val="33"/>
        </w:rPr>
        <w:t>（三）强化要素保障。</w:t>
      </w:r>
      <w:r>
        <w:rPr>
          <w:rFonts w:hint="default" w:ascii="Times New Roman" w:hAnsi="Times New Roman" w:eastAsia="楷体" w:cs="Times New Roman"/>
          <w:b w:val="0"/>
          <w:color w:val="000000"/>
          <w:sz w:val="33"/>
          <w:szCs w:val="33"/>
        </w:rPr>
        <w:t>县发展改革局要统筹谋划、积极争取将重大项目纳入省市重点项目，指导做好项目包装和对上争取；县自然资源规划局依法做好项目用地保障工作，指导做好重大交通项目不可避让生态保护红线论证相关工作；县财政局要牵头做好项目建设资金保障；相关乡镇要依法做好辖区征地拆迁补偿安置工作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楷体" w:hAnsi="楷体" w:eastAsia="楷体" w:cs="楷体"/>
          <w:sz w:val="33"/>
          <w:szCs w:val="33"/>
        </w:rPr>
      </w:pPr>
      <w:r>
        <w:rPr>
          <w:rStyle w:val="7"/>
          <w:rFonts w:hint="default" w:ascii="Times New Roman" w:hAnsi="Times New Roman" w:eastAsia="楷体" w:cs="Times New Roman"/>
          <w:b/>
          <w:color w:val="000000"/>
          <w:sz w:val="33"/>
          <w:szCs w:val="33"/>
        </w:rPr>
        <w:t>（四）强化激励约束。</w:t>
      </w:r>
      <w:r>
        <w:rPr>
          <w:rFonts w:hint="default" w:ascii="Times New Roman" w:hAnsi="Times New Roman" w:eastAsia="楷体" w:cs="Times New Roman"/>
          <w:b w:val="0"/>
          <w:color w:val="000000"/>
          <w:sz w:val="33"/>
          <w:szCs w:val="33"/>
        </w:rPr>
        <w:t>鼓励干部职工积极参与交通三年大会战，建立健全容错纠错机制，鲜明用人导向，让能干事者敢干事、会干事者干成事。积极向市委、市政府争取对表现优秀的集体和个人按规定进行表扬奖励，激发干事创业激情。对大会战工作中不作为、慢作为、乱作为的，按相关规定严肃处理，倒逼责任落实，增强反向约束力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2"/>
        <w:jc w:val="both"/>
        <w:rPr>
          <w:rFonts w:hint="default" w:ascii="楷体" w:hAnsi="楷体" w:eastAsia="楷体" w:cs="楷体"/>
          <w:sz w:val="33"/>
          <w:szCs w:val="33"/>
        </w:rPr>
      </w:pPr>
      <w:r>
        <w:rPr>
          <w:rStyle w:val="7"/>
          <w:rFonts w:hint="default" w:ascii="Times New Roman" w:hAnsi="Times New Roman" w:eastAsia="楷体" w:cs="Times New Roman"/>
          <w:b/>
          <w:color w:val="000000"/>
          <w:sz w:val="33"/>
          <w:szCs w:val="33"/>
        </w:rPr>
        <w:t>（五）加强监督管理。</w:t>
      </w:r>
      <w:r>
        <w:rPr>
          <w:rFonts w:hint="default" w:ascii="Times New Roman" w:hAnsi="Times New Roman" w:eastAsia="楷体" w:cs="Times New Roman"/>
          <w:b w:val="0"/>
          <w:color w:val="000000"/>
          <w:sz w:val="33"/>
          <w:szCs w:val="33"/>
        </w:rPr>
        <w:t>县交通运输局要合理把握、统筹推进三年大会战各项任务工作进程，深入一线、靠前指挥，实时掌握情况，加强跟踪分析，协调解决问题，重大事项及时向县委、县政府报告，确保三年大会战任务顺利完成。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0" w:lineRule="atLeast"/>
        <w:ind w:left="0" w:right="0" w:firstLine="66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附件：同城融圈第二轮交通三年大会战项目计划表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2025-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90" w:lineRule="atLeast"/>
        <w:ind w:left="0" w:right="0" w:firstLine="165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b w:val="0"/>
          <w:color w:val="000000"/>
          <w:sz w:val="33"/>
          <w:szCs w:val="33"/>
        </w:rPr>
        <w:t>2027年</w:t>
      </w:r>
      <w:r>
        <w:rPr>
          <w:rFonts w:hint="default" w:ascii="Times New Roman" w:hAnsi="Times New Roman" w:cs="Times New Roman"/>
          <w:b w:val="0"/>
          <w:color w:val="000000"/>
          <w:sz w:val="33"/>
          <w:szCs w:val="33"/>
          <w:highlight w:val="none"/>
        </w:rPr>
        <w:t>）</w:t>
      </w:r>
    </w:p>
    <w:p>
      <w:pPr>
        <w:pStyle w:val="4"/>
        <w:keepNext w:val="0"/>
        <w:keepLines w:val="0"/>
        <w:widowControl/>
        <w:suppressLineNumbers w:val="0"/>
        <w:spacing w:line="30" w:lineRule="atLeast"/>
        <w:ind w:left="0" w:firstLine="420"/>
        <w:jc w:val="left"/>
        <w:rPr>
          <w:sz w:val="33"/>
          <w:szCs w:val="33"/>
        </w:rPr>
      </w:pPr>
      <w:r>
        <w:rPr>
          <w:rFonts w:hint="default" w:ascii="Times New Roman" w:hAnsi="Times New Roman" w:eastAsia="serif" w:cs="Times New Roman"/>
          <w:color w:val="000000"/>
          <w:sz w:val="33"/>
          <w:szCs w:val="33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left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color w:val="000000"/>
          <w:sz w:val="33"/>
          <w:szCs w:val="33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center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color w:val="000000"/>
          <w:sz w:val="33"/>
          <w:szCs w:val="33"/>
        </w:rPr>
        <w:t>同城融圈第二轮交通三年大会战项目计划表（2025-2027年）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"/>
        <w:gridCol w:w="1286"/>
        <w:gridCol w:w="840"/>
        <w:gridCol w:w="300"/>
        <w:gridCol w:w="800"/>
        <w:gridCol w:w="540"/>
        <w:gridCol w:w="724"/>
        <w:gridCol w:w="722"/>
        <w:gridCol w:w="721"/>
        <w:gridCol w:w="600"/>
        <w:gridCol w:w="540"/>
        <w:gridCol w:w="540"/>
        <w:gridCol w:w="540"/>
        <w:gridCol w:w="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重点任务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建设内容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105" w:right="-105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建设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105" w:right="-105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地址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105" w:right="-105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总投资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105" w:right="-105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（亿元）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当前进展情况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2025-2027年投资计划（亿元）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时序安排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责任单位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33"/>
                <w:szCs w:val="3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33"/>
                <w:szCs w:val="3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33"/>
                <w:szCs w:val="3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33"/>
                <w:szCs w:val="3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33"/>
                <w:szCs w:val="3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33"/>
                <w:szCs w:val="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2027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开工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时间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完工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时间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33"/>
                <w:szCs w:val="3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33"/>
                <w:szCs w:val="3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合  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18.31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一、高速公路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71.88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广安绕城高速公路西段武胜段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新建武胜境内高速公路25.2公里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烈面镇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胜利镇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宝箴塞镇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项目投资人已确定，正在开展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县交通运输局；县自然资源规划局、县财政局（分号前为牵头单位，分号后为配合单位，下同）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102重点项目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G75兰海高速公路新增武胜北互通式立交项目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新建互通立交1座、收费站1处及相关服务设施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市重点项目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武胜经潼南至安居高速公路武胜段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新建武胜境内高速公路22公里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中心镇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万隆镇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推进前期项目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二、干线公路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color w:val="000000"/>
                <w:sz w:val="33"/>
                <w:szCs w:val="33"/>
              </w:rPr>
              <w:t>91.49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G350线广安枣山至武胜段公路改建工程（广武快速通道）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改建武胜境内一级公路30.5公里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飞龙镇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华封镇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万善镇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宝箴塞镇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武胜河东段已建成通车，河西段正在加快路面施工，交安绿化同步推进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县交通运输局；县财政局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省重点项目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S526武胜县赛马至胜利（川渝界）段改建工程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改建三级公路11.6公里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赛马镇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胜利镇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正进加快路基、桥涵施工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市重点项目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G212武胜县烈面（南充界）至万隆（川渝界）段改建工程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新改建一级公路29.9公里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烈面镇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金牛镇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万善镇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万隆镇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S316武胜县礼安（岳池界）至赛马（遂宁界）段改建工程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新改建三级公路29.9公里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礼安镇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烈面镇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赛马镇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武胜县嘉陵江（龙女湖）特大桥新建工程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新建特大桥720米/1座，同步采用一级公路结合城市主干路标准新建引道4.28公里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华封镇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完成桥位选址，正在开展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武胜县X089沿中路（文龙村至天印村）段改建工程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新改建一级公路9.1公里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中心镇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武胜县CO67-C97Q嘉陵江沿江公路（永寿寺段）新改建工程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新建四级公路1.7公里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华封镇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武胜县嘉陵江沿线道路工程建设项目-滨江路北段（沿口古镇至李家湾段村道改建工程）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新建滨江路1.3公里，设计时速30公里/小时，路基宽度19.5米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县住房城乡建设局；县交通运输局、县自然资源规划局、县财政局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S206线武胜县境内段（含嘉陵江大桥）公路工程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新建二级公路40.8公里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飞龙镇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乐善镇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街子镇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中心镇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清平镇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推进前期项目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S203武胜县三溪（岳池界）至鼓匠段改建工程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改建三级公路11.7公里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三溪镇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鼓匠乡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推进前期项目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S203武胜县鼓匠至万善段改建工程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改建三级公路22.5公里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鼓匠乡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石盘镇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龙女镇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万善镇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推进前期项目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武胜县嘉陵江沿线道路工程建设项目-汉初大道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新建城市主干路1.6公里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正在挂网招采施工单位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县住房城乡建设局；县交通运输局、县自然资源规划局、县财政局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三、农村公路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乡镇通三级路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改建三级公路64公里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乐善镇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三溪镇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清平镇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石盘镇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猛山乡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双星乡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真静乡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石盘镇项目正在开展施工招标，其他乡镇项目正在加快路基、桥涵、路面施工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县交通运输局；县自然资源规划局、县财政局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美丽乡村路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改建三级公路30公里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乐善镇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赛马镇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街子镇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正在加快路基、桥涵施工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老旧县乡道升级改造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改建三级、四级公路60公里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通组路硬化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新改建通组路150公里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县交通运输局；县农业农村局、县发展改革局、县财政局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危桥改造及安防工程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危桥改造8座，农村公路安全防护工程80公里，农村公路日常养护2700公里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县交通运输局；县发展改革局、县财政局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四、水运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嘉陵江广安段桐子壕库区锚地建设工程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按最大靠泊1000t级船舶新建公共锚地1处，同步建设锚地专用路、锚地系缆、锚地岸电、60m级趸船1艘等配套设施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县交通运输局；县自然资源规划局、县发展改革局、县财政局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武胜县嘉陵江段水运综合提升工程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拟对嘉陵江武胜段20公里航道进行通航能力提升建设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县交通运输局，县财政局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五、枢纽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1.0663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0.7563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0.3063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国道350武胜段公交站台建设项目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新建公交站台26个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正在加快站台施工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县交通运输局；县自然资源规划局、县财政局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武胜县城区公共停车场建设项目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项目停车场占地面积8840.57平方米，新建255个停车位，配套新增50台充电桩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沿口镇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县交通运输局；四川省嘉浩运业有限公司、县财政局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武胜县城市智慧停车建设项目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改造武胜县域内 11846 个停车位，安装道闸、自动升降桩等停车管理装置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县交通运输局；四川省嘉浩运业有限公司、县财政局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特色集镇综合运输服务站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建成一个集客运、邮政快递等多功能于一体的综合运输服务站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猛山乡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六、信息化及交通运输设备更新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color w:val="000000"/>
                <w:sz w:val="33"/>
                <w:szCs w:val="33"/>
              </w:rPr>
              <w:t>3.0101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0.2837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0.2</w:t>
            </w:r>
            <w:r>
              <w:rPr>
                <w:rStyle w:val="7"/>
                <w:rFonts w:hint="eastAsia" w:ascii="方正仿宋_GBK" w:hAnsi="方正仿宋_GBK" w:eastAsia="方正仿宋_GBK" w:cs="方正仿宋_GBK"/>
                <w:b/>
                <w:color w:val="000000"/>
                <w:sz w:val="33"/>
                <w:szCs w:val="33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0.0637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武胜县绿色低碳交通工具及配套设施更新项目（一期）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本项目为城市公共交通设备电动化替代更新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0.2537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县交通运输局；四川省嘉浩运业有限公司、县财政局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武胜县智慧交通基础设施建设项目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建设智慧交通管理平台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县交通运输局，县财政局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持续优化跨省域公共交通服务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开通武胜乐善至合川沙鱼川渝跨省域公交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乐善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已开通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县交通运输局、嘉浩运业有限公司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实施“快递进村”专项行动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实现农村快递站点全覆盖，快递入村派送全覆盖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相关乡镇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0.0101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正在开展前期工作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3"/>
                <w:szCs w:val="33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县交通运输局、县邮政公司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both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21" w:right="21"/>
              <w:jc w:val="center"/>
              <w:rPr>
                <w:rFonts w:hint="default" w:ascii="Calibri" w:hAnsi="Calibri" w:cs="Calibri"/>
                <w:sz w:val="33"/>
                <w:szCs w:val="3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3"/>
                <w:szCs w:val="33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 </w:t>
      </w:r>
    </w:p>
    <w:p>
      <w:pPr>
        <w:pStyle w:val="4"/>
        <w:keepNext w:val="0"/>
        <w:keepLines w:val="0"/>
        <w:widowControl/>
        <w:suppressLineNumbers w:val="0"/>
        <w:rPr>
          <w:sz w:val="33"/>
          <w:szCs w:val="33"/>
        </w:rPr>
      </w:pPr>
      <w:r>
        <w:rPr>
          <w:sz w:val="33"/>
          <w:szCs w:val="33"/>
        </w:rPr>
        <w:t> </w:t>
      </w:r>
    </w:p>
    <w:p>
      <w:pPr>
        <w:rPr>
          <w:rFonts w:hint="default"/>
          <w:sz w:val="33"/>
          <w:szCs w:val="33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99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899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9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D3Pa4b1AAAAAUBAAAPAAAAAAAAAAEAIAAAADgAAABkcnMvZG93bnJldi54&#10;bWxQSwECFAAUAAAACACHTuJARtfOniECAAAqBAAADgAAAAAAAAABACAAAAA5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D05E0"/>
    <w:rsid w:val="134F3535"/>
    <w:rsid w:val="29F95D5A"/>
    <w:rsid w:val="2F7B4C5B"/>
    <w:rsid w:val="3F75A91D"/>
    <w:rsid w:val="5AB31EE3"/>
    <w:rsid w:val="5DC770F9"/>
    <w:rsid w:val="6BC21100"/>
    <w:rsid w:val="6D47449B"/>
    <w:rsid w:val="7B1D05E0"/>
    <w:rsid w:val="BF7F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7308</Words>
  <Characters>8218</Characters>
  <Lines>0</Lines>
  <Paragraphs>0</Paragraphs>
  <TotalTime>6</TotalTime>
  <ScaleCrop>false</ScaleCrop>
  <LinksUpToDate>false</LinksUpToDate>
  <CharactersWithSpaces>8291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2025-06-26T00:10:00Z</dcterms:created>
  <dc:creator>周</dc:creator>
  <cp:lastModifiedBy>kylin</cp:lastModifiedBy>
  <dcterms:modified xsi:type="dcterms:W3CDTF">2025-06-26T17:54:21Z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0B35CA9741BD437A8F34D14AC490FD23_11</vt:lpwstr>
  </property>
  <property fmtid="{D5CDD505-2E9C-101B-9397-08002B2CF9AE}" pid="4" name="KSOTemplateDocerSaveRecord">
    <vt:lpwstr>eyJoZGlkIjoiOTRkYTc1OWI0Y2ZiZGYzYmI0NjVjMDI2NjE0NGQwODAiLCJ1c2VySWQiOiI3MTMyOTY5MzAifQ==</vt:lpwstr>
  </property>
</Properties>
</file>