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黑体_GBK" w:hAnsi="方正黑体_GBK" w:eastAsia="方正黑体_GBK" w:cs="方正黑体_GBK"/>
          <w:b/>
          <w:bCs/>
          <w:sz w:val="60"/>
          <w:szCs w:val="60"/>
          <w:highlight w:val="none"/>
          <w:lang w:val="en-US" w:eastAsia="zh-CN"/>
        </w:rPr>
      </w:pPr>
      <w:bookmarkStart w:id="0" w:name="_Toc16273"/>
      <w:bookmarkStart w:id="1" w:name="_Toc28653"/>
      <w:r>
        <w:rPr>
          <w:rFonts w:hint="eastAsia" w:ascii="方正黑体_GBK" w:hAnsi="方正黑体_GBK" w:eastAsia="方正黑体_GBK" w:cs="方正黑体_GBK"/>
          <w:b/>
          <w:bCs/>
          <w:sz w:val="60"/>
          <w:szCs w:val="60"/>
          <w:highlight w:val="none"/>
          <w:lang w:val="en-US" w:eastAsia="zh-CN"/>
        </w:rPr>
        <w:t>武胜县政协办</w:t>
      </w:r>
      <w:bookmarkEnd w:id="0"/>
      <w:bookmarkEnd w:id="1"/>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bCs/>
          <w:sz w:val="60"/>
          <w:szCs w:val="60"/>
          <w:highlight w:val="none"/>
        </w:rPr>
      </w:pPr>
      <w:r>
        <w:rPr>
          <w:rFonts w:hint="eastAsia" w:ascii="方正黑体_GBK" w:hAnsi="方正黑体_GBK" w:eastAsia="方正黑体_GBK" w:cs="方正黑体_GBK"/>
          <w:b/>
          <w:bCs/>
          <w:sz w:val="60"/>
          <w:szCs w:val="60"/>
          <w:highlight w:val="none"/>
          <w:lang w:val="en-US" w:eastAsia="zh-CN"/>
        </w:rPr>
        <w:t>2023</w:t>
      </w:r>
      <w:r>
        <w:rPr>
          <w:rFonts w:hint="eastAsia" w:ascii="方正黑体_GBK" w:hAnsi="方正黑体_GBK" w:eastAsia="方正黑体_GBK" w:cs="方正黑体_GBK"/>
          <w:b/>
          <w:bCs/>
          <w:sz w:val="60"/>
          <w:szCs w:val="60"/>
          <w:highlight w:val="none"/>
        </w:rPr>
        <w:t>年部门预算编制说明</w:t>
      </w: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topLinePunct w:val="0"/>
        <w:autoSpaceDE/>
        <w:autoSpaceDN/>
        <w:bidi w:val="0"/>
        <w:spacing w:line="590" w:lineRule="exact"/>
        <w:ind w:firstLine="883" w:firstLineChars="200"/>
        <w:jc w:val="center"/>
        <w:textAlignment w:val="auto"/>
        <w:rPr>
          <w:rFonts w:hint="eastAsia" w:ascii="Times New Roman" w:hAnsi="Times New Roman" w:eastAsia="方正小标宋_GBK"/>
          <w:b/>
          <w:bCs/>
          <w:sz w:val="44"/>
          <w:szCs w:val="44"/>
          <w:highlight w:val="none"/>
        </w:rPr>
      </w:pPr>
    </w:p>
    <w:p>
      <w:pPr>
        <w:pStyle w:val="2"/>
        <w:rPr>
          <w:rFonts w:hint="eastAsia"/>
        </w:rPr>
      </w:pPr>
    </w:p>
    <w:sdt>
      <w:sdtPr>
        <w:rPr>
          <w:rFonts w:hint="eastAsia" w:ascii="黑体" w:hAnsi="黑体" w:eastAsia="黑体" w:cs="黑体"/>
          <w:b/>
          <w:bCs/>
          <w:kern w:val="2"/>
          <w:sz w:val="21"/>
          <w:szCs w:val="22"/>
          <w:lang w:val="en-US" w:eastAsia="zh-CN" w:bidi="ar-SA"/>
        </w:rPr>
        <w:id w:val="147481392"/>
        <w15:color w:val="DBDBDB"/>
        <w:docPartObj>
          <w:docPartGallery w:val="Table of Contents"/>
          <w:docPartUnique/>
        </w:docPartObj>
      </w:sdtPr>
      <w:sdtEndPr>
        <w:rPr>
          <w:rFonts w:hint="eastAsia" w:ascii="Times New Roman" w:hAnsi="Times New Roman" w:eastAsia="黑体" w:cstheme="minorBidi"/>
          <w:b/>
          <w:bCs/>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rPr>
          </w:pPr>
          <w:r>
            <w:rPr>
              <w:rFonts w:hint="eastAsia" w:ascii="黑体" w:hAnsi="黑体" w:eastAsia="黑体" w:cs="黑体"/>
              <w:b/>
              <w:bCs/>
              <w:sz w:val="44"/>
              <w:szCs w:val="44"/>
            </w:rPr>
            <w:t>目</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录</w:t>
          </w:r>
        </w:p>
        <w:p>
          <w:pPr>
            <w:pStyle w:val="5"/>
            <w:tabs>
              <w:tab w:val="right" w:leader="dot" w:pos="8306"/>
            </w:tabs>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TOC \o "1-2" \h \u </w:instrText>
          </w:r>
          <w:r>
            <w:rPr>
              <w:rFonts w:hint="eastAsia" w:ascii="Times New Roman" w:hAnsi="Times New Roman" w:eastAsia="黑体"/>
              <w:sz w:val="28"/>
              <w:szCs w:val="28"/>
              <w:highlight w:val="none"/>
            </w:rPr>
            <w:fldChar w:fldCharType="separate"/>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_Toc5067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kern w:val="0"/>
              <w:sz w:val="28"/>
              <w:szCs w:val="28"/>
              <w:highlight w:val="none"/>
              <w:lang w:val="en-US" w:eastAsia="zh-CN" w:bidi="ar"/>
            </w:rPr>
            <w:t>一、基本职能及主要工作</w:t>
          </w:r>
          <w:r>
            <w:rPr>
              <w:sz w:val="28"/>
              <w:szCs w:val="28"/>
            </w:rPr>
            <w:tab/>
          </w:r>
          <w:r>
            <w:rPr>
              <w:sz w:val="28"/>
              <w:szCs w:val="28"/>
            </w:rPr>
            <w:fldChar w:fldCharType="begin"/>
          </w:r>
          <w:r>
            <w:rPr>
              <w:sz w:val="28"/>
              <w:szCs w:val="28"/>
            </w:rPr>
            <w:instrText xml:space="preserve"> PAGEREF _Toc5067 \h </w:instrText>
          </w:r>
          <w:r>
            <w:rPr>
              <w:sz w:val="28"/>
              <w:szCs w:val="28"/>
            </w:rPr>
            <w:fldChar w:fldCharType="separate"/>
          </w:r>
          <w:r>
            <w:rPr>
              <w:sz w:val="28"/>
              <w:szCs w:val="28"/>
            </w:rPr>
            <w:t>1</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_Toc16174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sz w:val="28"/>
              <w:szCs w:val="28"/>
              <w:highlight w:val="none"/>
            </w:rPr>
            <w:t>（一）</w:t>
          </w:r>
          <w:r>
            <w:rPr>
              <w:rFonts w:hint="eastAsia" w:ascii="Times New Roman" w:hAnsi="Times New Roman" w:eastAsia="楷体_GB2312"/>
              <w:sz w:val="28"/>
              <w:szCs w:val="28"/>
              <w:highlight w:val="none"/>
              <w:lang w:eastAsia="zh-CN"/>
            </w:rPr>
            <w:t>县政协办</w:t>
          </w:r>
          <w:r>
            <w:rPr>
              <w:rFonts w:hint="eastAsia" w:ascii="Times New Roman" w:hAnsi="Times New Roman" w:eastAsia="楷体_GB2312"/>
              <w:sz w:val="28"/>
              <w:szCs w:val="28"/>
              <w:highlight w:val="none"/>
            </w:rPr>
            <w:t>职能简介</w:t>
          </w:r>
          <w:r>
            <w:rPr>
              <w:sz w:val="28"/>
              <w:szCs w:val="28"/>
            </w:rPr>
            <w:tab/>
          </w:r>
          <w:r>
            <w:rPr>
              <w:sz w:val="28"/>
              <w:szCs w:val="28"/>
            </w:rPr>
            <w:fldChar w:fldCharType="begin"/>
          </w:r>
          <w:r>
            <w:rPr>
              <w:sz w:val="28"/>
              <w:szCs w:val="28"/>
            </w:rPr>
            <w:instrText xml:space="preserve"> PAGEREF _Toc16174 \h </w:instrText>
          </w:r>
          <w:r>
            <w:rPr>
              <w:sz w:val="28"/>
              <w:szCs w:val="28"/>
            </w:rPr>
            <w:fldChar w:fldCharType="separate"/>
          </w:r>
          <w:r>
            <w:rPr>
              <w:sz w:val="28"/>
              <w:szCs w:val="28"/>
            </w:rPr>
            <w:t>1</w:t>
          </w:r>
          <w:r>
            <w:rPr>
              <w:sz w:val="28"/>
              <w:szCs w:val="28"/>
            </w:rPr>
            <w:fldChar w:fldCharType="end"/>
          </w:r>
          <w:r>
            <w:rPr>
              <w:rFonts w:hint="eastAsia" w:ascii="Times New Roman" w:hAnsi="Times New Roman" w:eastAsia="黑体"/>
              <w:sz w:val="28"/>
              <w:szCs w:val="28"/>
              <w:highlight w:val="none"/>
            </w:rPr>
            <w:fldChar w:fldCharType="end"/>
          </w:r>
        </w:p>
        <w:p>
          <w:pPr>
            <w:rPr>
              <w:rFonts w:hint="default" w:eastAsia="黑体"/>
              <w:lang w:val="en-US" w:eastAsia="zh-CN"/>
            </w:rPr>
          </w:pPr>
          <w:r>
            <w:rPr>
              <w:rFonts w:hint="eastAsia" w:ascii="Times New Roman" w:hAnsi="Times New Roman" w:eastAsia="楷体_GB2312"/>
              <w:sz w:val="28"/>
              <w:szCs w:val="28"/>
              <w:highlight w:val="none"/>
            </w:rPr>
            <w:t>（</w:t>
          </w:r>
          <w:r>
            <w:rPr>
              <w:rFonts w:hint="eastAsia" w:ascii="Times New Roman" w:hAnsi="Times New Roman" w:eastAsia="楷体_GB2312"/>
              <w:sz w:val="28"/>
              <w:szCs w:val="28"/>
              <w:highlight w:val="none"/>
              <w:lang w:eastAsia="zh-CN"/>
            </w:rPr>
            <w:t>二</w:t>
          </w:r>
          <w:r>
            <w:rPr>
              <w:rFonts w:hint="eastAsia" w:ascii="Times New Roman" w:hAnsi="Times New Roman" w:eastAsia="楷体_GB2312"/>
              <w:sz w:val="28"/>
              <w:szCs w:val="28"/>
              <w:highlight w:val="none"/>
            </w:rPr>
            <w:t>）</w:t>
          </w:r>
          <w:r>
            <w:rPr>
              <w:rFonts w:hint="eastAsia" w:ascii="Times New Roman" w:hAnsi="Times New Roman" w:eastAsia="楷体_GB2312" w:cstheme="minorBidi"/>
              <w:kern w:val="2"/>
              <w:sz w:val="28"/>
              <w:szCs w:val="28"/>
              <w:highlight w:val="none"/>
              <w:lang w:val="en-US" w:eastAsia="zh-CN" w:bidi="ar-SA"/>
            </w:rPr>
            <w:t>县政协办2023年重点工作</w:t>
          </w:r>
          <w:r>
            <w:rPr>
              <w:rFonts w:hint="eastAsia" w:ascii="Times New Roman" w:hAnsi="Times New Roman" w:eastAsia="黑体"/>
              <w:sz w:val="28"/>
              <w:szCs w:val="28"/>
              <w:highlight w:val="none"/>
              <w:lang w:val="en-US" w:eastAsia="zh-CN"/>
            </w:rPr>
            <w:t>............................................................</w:t>
          </w:r>
          <w:r>
            <w:rPr>
              <w:sz w:val="28"/>
              <w:szCs w:val="28"/>
            </w:rPr>
            <w:fldChar w:fldCharType="begin"/>
          </w:r>
          <w:r>
            <w:rPr>
              <w:sz w:val="28"/>
              <w:szCs w:val="28"/>
            </w:rPr>
            <w:instrText xml:space="preserve"> PAGEREF _Toc16174 \h </w:instrText>
          </w:r>
          <w:r>
            <w:rPr>
              <w:sz w:val="28"/>
              <w:szCs w:val="28"/>
            </w:rPr>
            <w:fldChar w:fldCharType="separate"/>
          </w:r>
          <w:r>
            <w:rPr>
              <w:sz w:val="28"/>
              <w:szCs w:val="28"/>
            </w:rPr>
            <w:t>1</w:t>
          </w:r>
          <w:r>
            <w:rPr>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_Toc25344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kern w:val="0"/>
              <w:sz w:val="28"/>
              <w:szCs w:val="28"/>
              <w:highlight w:val="none"/>
              <w:lang w:val="en-US" w:eastAsia="zh-CN" w:bidi="ar"/>
            </w:rPr>
            <w:t>二、部门预算单位构成情况</w:t>
          </w:r>
          <w:r>
            <w:rPr>
              <w:sz w:val="28"/>
              <w:szCs w:val="28"/>
            </w:rPr>
            <w:tab/>
          </w:r>
          <w:r>
            <w:rPr>
              <w:sz w:val="28"/>
              <w:szCs w:val="28"/>
            </w:rPr>
            <w:fldChar w:fldCharType="begin"/>
          </w:r>
          <w:r>
            <w:rPr>
              <w:sz w:val="28"/>
              <w:szCs w:val="28"/>
            </w:rPr>
            <w:instrText xml:space="preserve"> PAGEREF _Toc25344 \h </w:instrText>
          </w:r>
          <w:r>
            <w:rPr>
              <w:sz w:val="28"/>
              <w:szCs w:val="28"/>
            </w:rPr>
            <w:fldChar w:fldCharType="separate"/>
          </w:r>
          <w:r>
            <w:rPr>
              <w:sz w:val="28"/>
              <w:szCs w:val="28"/>
            </w:rPr>
            <w:t>3</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_Toc27401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三</w:t>
          </w:r>
          <w:r>
            <w:rPr>
              <w:rFonts w:hint="eastAsia" w:ascii="Times New Roman" w:hAnsi="Times New Roman" w:eastAsia="黑体" w:cs="Times New Roman"/>
              <w:sz w:val="28"/>
              <w:szCs w:val="28"/>
              <w:highlight w:val="none"/>
            </w:rPr>
            <w:t>、收支</w:t>
          </w:r>
          <w:r>
            <w:rPr>
              <w:rFonts w:hint="eastAsia" w:ascii="Times New Roman" w:hAnsi="Times New Roman" w:eastAsia="黑体" w:cs="Times New Roman"/>
              <w:sz w:val="28"/>
              <w:szCs w:val="28"/>
              <w:highlight w:val="none"/>
              <w:lang w:eastAsia="zh-CN"/>
            </w:rPr>
            <w:t>预算情况</w:t>
          </w:r>
          <w:r>
            <w:rPr>
              <w:sz w:val="28"/>
              <w:szCs w:val="28"/>
            </w:rPr>
            <w:tab/>
          </w:r>
          <w:r>
            <w:rPr>
              <w:sz w:val="28"/>
              <w:szCs w:val="28"/>
            </w:rPr>
            <w:fldChar w:fldCharType="begin"/>
          </w:r>
          <w:r>
            <w:rPr>
              <w:sz w:val="28"/>
              <w:szCs w:val="28"/>
            </w:rPr>
            <w:instrText xml:space="preserve"> PAGEREF _Toc27401 \h </w:instrText>
          </w:r>
          <w:r>
            <w:rPr>
              <w:sz w:val="28"/>
              <w:szCs w:val="28"/>
            </w:rPr>
            <w:fldChar w:fldCharType="separate"/>
          </w:r>
          <w:r>
            <w:rPr>
              <w:sz w:val="28"/>
              <w:szCs w:val="28"/>
            </w:rPr>
            <w:t>3</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_Toc2080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lang w:val="en-US" w:eastAsia="zh-CN"/>
            </w:rPr>
            <w:t>（一）收入预算情况</w:t>
          </w:r>
          <w:r>
            <w:rPr>
              <w:sz w:val="28"/>
              <w:szCs w:val="28"/>
            </w:rPr>
            <w:tab/>
          </w:r>
          <w:r>
            <w:rPr>
              <w:sz w:val="28"/>
              <w:szCs w:val="28"/>
            </w:rPr>
            <w:fldChar w:fldCharType="begin"/>
          </w:r>
          <w:r>
            <w:rPr>
              <w:sz w:val="28"/>
              <w:szCs w:val="28"/>
            </w:rPr>
            <w:instrText xml:space="preserve"> PAGEREF _Toc2080 \h </w:instrText>
          </w:r>
          <w:r>
            <w:rPr>
              <w:sz w:val="28"/>
              <w:szCs w:val="28"/>
            </w:rPr>
            <w:fldChar w:fldCharType="separate"/>
          </w:r>
          <w:r>
            <w:rPr>
              <w:sz w:val="28"/>
              <w:szCs w:val="28"/>
            </w:rPr>
            <w:t>3</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_Toc8764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lang w:val="en-US" w:eastAsia="zh-CN"/>
            </w:rPr>
            <w:t>（二）支出预算情况</w:t>
          </w:r>
          <w:r>
            <w:rPr>
              <w:sz w:val="28"/>
              <w:szCs w:val="28"/>
            </w:rPr>
            <w:tab/>
          </w:r>
          <w:r>
            <w:rPr>
              <w:sz w:val="28"/>
              <w:szCs w:val="28"/>
            </w:rPr>
            <w:fldChar w:fldCharType="begin"/>
          </w:r>
          <w:r>
            <w:rPr>
              <w:sz w:val="28"/>
              <w:szCs w:val="28"/>
            </w:rPr>
            <w:instrText xml:space="preserve"> PAGEREF _Toc8764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_Toc3314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四、</w:t>
          </w:r>
          <w:r>
            <w:rPr>
              <w:rFonts w:hint="eastAsia" w:ascii="Times New Roman" w:hAnsi="Times New Roman" w:eastAsia="黑体" w:cs="Times New Roman"/>
              <w:sz w:val="28"/>
              <w:szCs w:val="28"/>
              <w:highlight w:val="none"/>
            </w:rPr>
            <w:t>财政拨款收支</w:t>
          </w:r>
          <w:r>
            <w:rPr>
              <w:rFonts w:hint="eastAsia" w:ascii="Times New Roman" w:hAnsi="Times New Roman" w:eastAsia="黑体" w:cs="Times New Roman"/>
              <w:sz w:val="28"/>
              <w:szCs w:val="28"/>
              <w:highlight w:val="none"/>
              <w:lang w:eastAsia="zh-CN"/>
            </w:rPr>
            <w:t>预算情况</w:t>
          </w:r>
          <w:r>
            <w:rPr>
              <w:sz w:val="28"/>
              <w:szCs w:val="28"/>
            </w:rPr>
            <w:tab/>
          </w:r>
          <w:r>
            <w:rPr>
              <w:sz w:val="28"/>
              <w:szCs w:val="28"/>
            </w:rPr>
            <w:fldChar w:fldCharType="begin"/>
          </w:r>
          <w:r>
            <w:rPr>
              <w:sz w:val="28"/>
              <w:szCs w:val="28"/>
            </w:rPr>
            <w:instrText xml:space="preserve"> PAGEREF _Toc3314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_Toc14880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五、</w:t>
          </w:r>
          <w:r>
            <w:rPr>
              <w:rFonts w:hint="eastAsia" w:ascii="Times New Roman" w:hAnsi="Times New Roman" w:eastAsia="黑体" w:cs="Times New Roman"/>
              <w:sz w:val="28"/>
              <w:szCs w:val="28"/>
              <w:highlight w:val="none"/>
            </w:rPr>
            <w:t>一般公共预算</w:t>
          </w:r>
          <w:r>
            <w:rPr>
              <w:rFonts w:hint="eastAsia" w:ascii="Times New Roman" w:hAnsi="Times New Roman" w:eastAsia="黑体" w:cs="Times New Roman"/>
              <w:sz w:val="28"/>
              <w:szCs w:val="28"/>
              <w:highlight w:val="none"/>
              <w:lang w:eastAsia="zh-CN"/>
            </w:rPr>
            <w:t>当年拨款情况</w:t>
          </w:r>
          <w:r>
            <w:rPr>
              <w:sz w:val="28"/>
              <w:szCs w:val="28"/>
            </w:rPr>
            <w:tab/>
          </w:r>
          <w:r>
            <w:rPr>
              <w:sz w:val="28"/>
              <w:szCs w:val="28"/>
            </w:rPr>
            <w:fldChar w:fldCharType="begin"/>
          </w:r>
          <w:r>
            <w:rPr>
              <w:sz w:val="28"/>
              <w:szCs w:val="28"/>
            </w:rPr>
            <w:instrText xml:space="preserve"> PAGEREF _Toc14880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_Toc24923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（一）一般公共预算当年拨款规模变化情况</w:t>
          </w:r>
          <w:r>
            <w:rPr>
              <w:sz w:val="28"/>
              <w:szCs w:val="28"/>
            </w:rPr>
            <w:tab/>
          </w:r>
          <w:r>
            <w:rPr>
              <w:sz w:val="28"/>
              <w:szCs w:val="28"/>
            </w:rPr>
            <w:fldChar w:fldCharType="begin"/>
          </w:r>
          <w:r>
            <w:rPr>
              <w:sz w:val="28"/>
              <w:szCs w:val="28"/>
            </w:rPr>
            <w:instrText xml:space="preserve"> PAGEREF _Toc24923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_Toc15173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（二）一般公共预算当年拨款结构情况</w:t>
          </w:r>
          <w:r>
            <w:rPr>
              <w:sz w:val="28"/>
              <w:szCs w:val="28"/>
            </w:rPr>
            <w:tab/>
          </w:r>
          <w:r>
            <w:rPr>
              <w:sz w:val="28"/>
              <w:szCs w:val="28"/>
            </w:rPr>
            <w:fldChar w:fldCharType="begin"/>
          </w:r>
          <w:r>
            <w:rPr>
              <w:sz w:val="28"/>
              <w:szCs w:val="28"/>
            </w:rPr>
            <w:instrText xml:space="preserve"> PAGEREF _Toc15173 \h </w:instrText>
          </w:r>
          <w:r>
            <w:rPr>
              <w:sz w:val="28"/>
              <w:szCs w:val="28"/>
            </w:rPr>
            <w:fldChar w:fldCharType="separate"/>
          </w:r>
          <w:r>
            <w:rPr>
              <w:sz w:val="28"/>
              <w:szCs w:val="28"/>
            </w:rPr>
            <w:t>5</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_Toc27360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（三）一般公共预算当年拨款具体使用情况</w:t>
          </w:r>
          <w:r>
            <w:rPr>
              <w:sz w:val="28"/>
              <w:szCs w:val="28"/>
            </w:rPr>
            <w:tab/>
          </w:r>
          <w:r>
            <w:rPr>
              <w:sz w:val="28"/>
              <w:szCs w:val="28"/>
            </w:rPr>
            <w:fldChar w:fldCharType="begin"/>
          </w:r>
          <w:r>
            <w:rPr>
              <w:sz w:val="28"/>
              <w:szCs w:val="28"/>
            </w:rPr>
            <w:instrText xml:space="preserve"> PAGEREF _Toc27360 \h </w:instrText>
          </w:r>
          <w:r>
            <w:rPr>
              <w:sz w:val="28"/>
              <w:szCs w:val="28"/>
            </w:rPr>
            <w:fldChar w:fldCharType="separate"/>
          </w:r>
          <w:r>
            <w:rPr>
              <w:sz w:val="28"/>
              <w:szCs w:val="28"/>
            </w:rPr>
            <w:t>5</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_Toc24440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六、</w:t>
          </w:r>
          <w:r>
            <w:rPr>
              <w:rFonts w:hint="eastAsia" w:ascii="Times New Roman" w:hAnsi="Times New Roman" w:eastAsia="黑体" w:cs="Times New Roman"/>
              <w:sz w:val="28"/>
              <w:szCs w:val="28"/>
              <w:highlight w:val="none"/>
            </w:rPr>
            <w:t>一般公共预算基本支出</w:t>
          </w:r>
          <w:r>
            <w:rPr>
              <w:rFonts w:hint="eastAsia" w:ascii="Times New Roman" w:hAnsi="Times New Roman" w:eastAsia="黑体" w:cs="Times New Roman"/>
              <w:sz w:val="28"/>
              <w:szCs w:val="28"/>
              <w:highlight w:val="none"/>
              <w:lang w:eastAsia="zh-CN"/>
            </w:rPr>
            <w:t>情况说明</w:t>
          </w:r>
          <w:r>
            <w:rPr>
              <w:sz w:val="28"/>
              <w:szCs w:val="28"/>
            </w:rPr>
            <w:tab/>
          </w:r>
          <w:r>
            <w:rPr>
              <w:sz w:val="28"/>
              <w:szCs w:val="28"/>
            </w:rPr>
            <w:fldChar w:fldCharType="begin"/>
          </w:r>
          <w:r>
            <w:rPr>
              <w:sz w:val="28"/>
              <w:szCs w:val="28"/>
            </w:rPr>
            <w:instrText xml:space="preserve"> PAGEREF _Toc24440 \h </w:instrText>
          </w:r>
          <w:r>
            <w:rPr>
              <w:sz w:val="28"/>
              <w:szCs w:val="28"/>
            </w:rPr>
            <w:fldChar w:fldCharType="separate"/>
          </w:r>
          <w:r>
            <w:rPr>
              <w:sz w:val="28"/>
              <w:szCs w:val="28"/>
            </w:rPr>
            <w:t>6</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_Toc1320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七、</w:t>
          </w:r>
          <w:r>
            <w:rPr>
              <w:rFonts w:hint="eastAsia" w:ascii="Times New Roman" w:hAnsi="Times New Roman" w:eastAsia="黑体" w:cs="Times New Roman"/>
              <w:sz w:val="28"/>
              <w:szCs w:val="28"/>
              <w:highlight w:val="none"/>
            </w:rPr>
            <w:t>“三公”经费财政拨款预算安排情况说明</w:t>
          </w:r>
          <w:r>
            <w:rPr>
              <w:sz w:val="28"/>
              <w:szCs w:val="28"/>
            </w:rPr>
            <w:tab/>
          </w:r>
          <w:r>
            <w:rPr>
              <w:sz w:val="28"/>
              <w:szCs w:val="28"/>
            </w:rPr>
            <w:fldChar w:fldCharType="begin"/>
          </w:r>
          <w:r>
            <w:rPr>
              <w:sz w:val="28"/>
              <w:szCs w:val="28"/>
            </w:rPr>
            <w:instrText xml:space="preserve"> PAGEREF _Toc1320 \h </w:instrText>
          </w:r>
          <w:r>
            <w:rPr>
              <w:sz w:val="28"/>
              <w:szCs w:val="28"/>
            </w:rPr>
            <w:fldChar w:fldCharType="separate"/>
          </w:r>
          <w:r>
            <w:rPr>
              <w:sz w:val="28"/>
              <w:szCs w:val="28"/>
            </w:rPr>
            <w:t>6</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_Toc8348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八、</w:t>
          </w:r>
          <w:r>
            <w:rPr>
              <w:rFonts w:hint="eastAsia" w:ascii="Times New Roman" w:hAnsi="Times New Roman" w:eastAsia="黑体" w:cs="Times New Roman"/>
              <w:sz w:val="28"/>
              <w:szCs w:val="28"/>
              <w:highlight w:val="none"/>
            </w:rPr>
            <w:t>政府性基金预算支出</w:t>
          </w:r>
          <w:r>
            <w:rPr>
              <w:rFonts w:hint="eastAsia" w:ascii="Times New Roman" w:hAnsi="Times New Roman" w:eastAsia="黑体" w:cs="Times New Roman"/>
              <w:sz w:val="28"/>
              <w:szCs w:val="28"/>
              <w:highlight w:val="none"/>
              <w:lang w:eastAsia="zh-CN"/>
            </w:rPr>
            <w:t>情况说明</w:t>
          </w:r>
          <w:r>
            <w:rPr>
              <w:sz w:val="28"/>
              <w:szCs w:val="28"/>
            </w:rPr>
            <w:tab/>
          </w:r>
          <w:r>
            <w:rPr>
              <w:sz w:val="28"/>
              <w:szCs w:val="28"/>
            </w:rPr>
            <w:fldChar w:fldCharType="begin"/>
          </w:r>
          <w:r>
            <w:rPr>
              <w:sz w:val="28"/>
              <w:szCs w:val="28"/>
            </w:rPr>
            <w:instrText xml:space="preserve"> PAGEREF _Toc8348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_Toc9186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九</w:t>
          </w:r>
          <w:r>
            <w:rPr>
              <w:rFonts w:hint="eastAsia" w:ascii="Times New Roman" w:hAnsi="Times New Roman" w:eastAsia="黑体" w:cs="Times New Roman"/>
              <w:sz w:val="28"/>
              <w:szCs w:val="28"/>
              <w:highlight w:val="none"/>
            </w:rPr>
            <w:t>、国有资本经营预算</w:t>
          </w:r>
          <w:r>
            <w:rPr>
              <w:rFonts w:hint="eastAsia" w:ascii="Times New Roman" w:hAnsi="Times New Roman" w:eastAsia="黑体" w:cs="Times New Roman"/>
              <w:sz w:val="28"/>
              <w:szCs w:val="28"/>
              <w:highlight w:val="none"/>
              <w:lang w:eastAsia="zh-CN"/>
            </w:rPr>
            <w:t>情况说明</w:t>
          </w:r>
          <w:r>
            <w:rPr>
              <w:sz w:val="28"/>
              <w:szCs w:val="28"/>
            </w:rPr>
            <w:tab/>
          </w:r>
          <w:r>
            <w:rPr>
              <w:sz w:val="28"/>
              <w:szCs w:val="28"/>
            </w:rPr>
            <w:fldChar w:fldCharType="begin"/>
          </w:r>
          <w:r>
            <w:rPr>
              <w:sz w:val="28"/>
              <w:szCs w:val="28"/>
            </w:rPr>
            <w:instrText xml:space="preserve"> PAGEREF _Toc9186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_Toc26527 </w:instrText>
          </w:r>
          <w:r>
            <w:rPr>
              <w:rFonts w:hint="eastAsia" w:ascii="Times New Roman" w:hAnsi="Times New Roman" w:eastAsia="黑体"/>
              <w:sz w:val="28"/>
              <w:szCs w:val="28"/>
              <w:highlight w:val="none"/>
            </w:rPr>
            <w:fldChar w:fldCharType="separate"/>
          </w:r>
          <w:r>
            <w:rPr>
              <w:rFonts w:hint="eastAsia" w:ascii="Times New Roman" w:hAnsi="Times New Roman" w:eastAsia="黑体" w:cs="Times New Roman"/>
              <w:sz w:val="28"/>
              <w:szCs w:val="28"/>
              <w:highlight w:val="none"/>
              <w:lang w:eastAsia="zh-CN"/>
            </w:rPr>
            <w:t>十、</w:t>
          </w:r>
          <w:r>
            <w:rPr>
              <w:rFonts w:hint="eastAsia" w:ascii="Times New Roman" w:hAnsi="Times New Roman" w:eastAsia="黑体" w:cs="Times New Roman"/>
              <w:sz w:val="28"/>
              <w:szCs w:val="28"/>
              <w:highlight w:val="none"/>
            </w:rPr>
            <w:t>其他重要事项的情况说明</w:t>
          </w:r>
          <w:r>
            <w:rPr>
              <w:sz w:val="28"/>
              <w:szCs w:val="28"/>
            </w:rPr>
            <w:tab/>
          </w:r>
          <w:r>
            <w:rPr>
              <w:sz w:val="28"/>
              <w:szCs w:val="28"/>
            </w:rPr>
            <w:fldChar w:fldCharType="begin"/>
          </w:r>
          <w:r>
            <w:rPr>
              <w:sz w:val="28"/>
              <w:szCs w:val="28"/>
            </w:rPr>
            <w:instrText xml:space="preserve"> PAGEREF _Toc26527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_Toc2158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（一）机关运行经费</w:t>
          </w:r>
          <w:r>
            <w:rPr>
              <w:rFonts w:hint="eastAsia" w:ascii="Times New Roman" w:hAnsi="Times New Roman" w:eastAsia="楷体_GB2312" w:cs="Times New Roman"/>
              <w:sz w:val="28"/>
              <w:szCs w:val="28"/>
              <w:highlight w:val="none"/>
              <w:lang w:eastAsia="zh-CN"/>
            </w:rPr>
            <w:t>情况</w:t>
          </w:r>
          <w:r>
            <w:rPr>
              <w:sz w:val="28"/>
              <w:szCs w:val="28"/>
            </w:rPr>
            <w:tab/>
          </w:r>
          <w:r>
            <w:rPr>
              <w:sz w:val="28"/>
              <w:szCs w:val="28"/>
            </w:rPr>
            <w:fldChar w:fldCharType="begin"/>
          </w:r>
          <w:r>
            <w:rPr>
              <w:sz w:val="28"/>
              <w:szCs w:val="28"/>
            </w:rPr>
            <w:instrText xml:space="preserve"> PAGEREF _Toc2158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_Toc9178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（二）政府采购情况</w:t>
          </w:r>
          <w:r>
            <w:rPr>
              <w:sz w:val="28"/>
              <w:szCs w:val="28"/>
            </w:rPr>
            <w:tab/>
          </w:r>
          <w:r>
            <w:rPr>
              <w:sz w:val="28"/>
              <w:szCs w:val="28"/>
            </w:rPr>
            <w:fldChar w:fldCharType="begin"/>
          </w:r>
          <w:r>
            <w:rPr>
              <w:sz w:val="28"/>
              <w:szCs w:val="28"/>
            </w:rPr>
            <w:instrText xml:space="preserve"> PAGEREF _Toc9178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_Toc21053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（三）国有资产占有使用情况</w:t>
          </w:r>
          <w:r>
            <w:rPr>
              <w:sz w:val="28"/>
              <w:szCs w:val="28"/>
            </w:rPr>
            <w:tab/>
          </w:r>
          <w:r>
            <w:rPr>
              <w:sz w:val="28"/>
              <w:szCs w:val="28"/>
            </w:rPr>
            <w:fldChar w:fldCharType="begin"/>
          </w:r>
          <w:r>
            <w:rPr>
              <w:sz w:val="28"/>
              <w:szCs w:val="28"/>
            </w:rPr>
            <w:instrText xml:space="preserve"> PAGEREF _Toc21053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黑体"/>
              <w:sz w:val="28"/>
              <w:szCs w:val="28"/>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_Toc5778 </w:instrText>
          </w:r>
          <w:r>
            <w:rPr>
              <w:rFonts w:hint="eastAsia" w:ascii="Times New Roman" w:hAnsi="Times New Roman" w:eastAsia="黑体"/>
              <w:sz w:val="28"/>
              <w:szCs w:val="28"/>
              <w:highlight w:val="none"/>
            </w:rPr>
            <w:fldChar w:fldCharType="separate"/>
          </w:r>
          <w:r>
            <w:rPr>
              <w:rFonts w:hint="eastAsia" w:ascii="Times New Roman" w:hAnsi="Times New Roman" w:eastAsia="楷体_GB2312" w:cs="Times New Roman"/>
              <w:sz w:val="28"/>
              <w:szCs w:val="28"/>
              <w:highlight w:val="none"/>
            </w:rPr>
            <w:t>（四）</w:t>
          </w:r>
          <w:r>
            <w:rPr>
              <w:rFonts w:hint="eastAsia" w:ascii="Times New Roman" w:hAnsi="Times New Roman" w:eastAsia="楷体_GB2312" w:cs="Times New Roman"/>
              <w:sz w:val="28"/>
              <w:szCs w:val="28"/>
              <w:highlight w:val="none"/>
              <w:lang w:eastAsia="zh-CN"/>
            </w:rPr>
            <w:t>预算绩效情况</w:t>
          </w:r>
          <w:r>
            <w:rPr>
              <w:sz w:val="28"/>
              <w:szCs w:val="28"/>
            </w:rPr>
            <w:tab/>
          </w:r>
          <w:r>
            <w:rPr>
              <w:sz w:val="28"/>
              <w:szCs w:val="28"/>
            </w:rPr>
            <w:fldChar w:fldCharType="begin"/>
          </w:r>
          <w:r>
            <w:rPr>
              <w:sz w:val="28"/>
              <w:szCs w:val="28"/>
            </w:rPr>
            <w:instrText xml:space="preserve"> PAGEREF _Toc5778 \h </w:instrText>
          </w:r>
          <w:r>
            <w:rPr>
              <w:sz w:val="28"/>
              <w:szCs w:val="28"/>
            </w:rPr>
            <w:fldChar w:fldCharType="separate"/>
          </w:r>
          <w:r>
            <w:rPr>
              <w:sz w:val="28"/>
              <w:szCs w:val="28"/>
            </w:rPr>
            <w:t>8</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rPr>
              <w:sz w:val="28"/>
              <w:szCs w:val="28"/>
            </w:rPr>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_Toc9927 </w:instrText>
          </w:r>
          <w:r>
            <w:rPr>
              <w:rFonts w:hint="eastAsia" w:ascii="Times New Roman" w:hAnsi="Times New Roman" w:eastAsia="黑体"/>
              <w:sz w:val="28"/>
              <w:szCs w:val="28"/>
              <w:highlight w:val="none"/>
            </w:rPr>
            <w:fldChar w:fldCharType="separate"/>
          </w:r>
          <w:r>
            <w:rPr>
              <w:rFonts w:hint="eastAsia" w:ascii="Times New Roman" w:hAnsi="Times New Roman" w:eastAsia="黑体"/>
              <w:sz w:val="28"/>
              <w:szCs w:val="28"/>
              <w:highlight w:val="none"/>
            </w:rPr>
            <w:t>十</w:t>
          </w:r>
          <w:r>
            <w:rPr>
              <w:rFonts w:hint="eastAsia" w:ascii="Times New Roman" w:hAnsi="Times New Roman" w:eastAsia="黑体"/>
              <w:sz w:val="28"/>
              <w:szCs w:val="28"/>
              <w:highlight w:val="none"/>
              <w:lang w:eastAsia="zh-CN"/>
            </w:rPr>
            <w:t>一</w:t>
          </w:r>
          <w:r>
            <w:rPr>
              <w:rFonts w:hint="eastAsia" w:ascii="Times New Roman" w:hAnsi="Times New Roman" w:eastAsia="黑体"/>
              <w:sz w:val="28"/>
              <w:szCs w:val="28"/>
              <w:highlight w:val="none"/>
            </w:rPr>
            <w:t>、名词解释</w:t>
          </w:r>
          <w:r>
            <w:rPr>
              <w:sz w:val="28"/>
              <w:szCs w:val="28"/>
            </w:rPr>
            <w:tab/>
          </w:r>
          <w:r>
            <w:rPr>
              <w:sz w:val="28"/>
              <w:szCs w:val="28"/>
            </w:rPr>
            <w:fldChar w:fldCharType="begin"/>
          </w:r>
          <w:r>
            <w:rPr>
              <w:sz w:val="28"/>
              <w:szCs w:val="28"/>
            </w:rPr>
            <w:instrText xml:space="preserve"> PAGEREF _Toc9927 \h </w:instrText>
          </w:r>
          <w:r>
            <w:rPr>
              <w:sz w:val="28"/>
              <w:szCs w:val="28"/>
            </w:rPr>
            <w:fldChar w:fldCharType="separate"/>
          </w:r>
          <w:r>
            <w:rPr>
              <w:sz w:val="28"/>
              <w:szCs w:val="28"/>
            </w:rPr>
            <w:t>8</w:t>
          </w:r>
          <w:r>
            <w:rPr>
              <w:sz w:val="28"/>
              <w:szCs w:val="28"/>
            </w:rPr>
            <w:fldChar w:fldCharType="end"/>
          </w:r>
          <w:r>
            <w:rPr>
              <w:rFonts w:hint="eastAsia" w:ascii="Times New Roman" w:hAnsi="Times New Roman" w:eastAsia="黑体"/>
              <w:sz w:val="28"/>
              <w:szCs w:val="28"/>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textAlignment w:val="auto"/>
          </w:pPr>
          <w:r>
            <w:rPr>
              <w:rFonts w:hint="eastAsia" w:ascii="Times New Roman" w:hAnsi="Times New Roman" w:eastAsia="黑体"/>
              <w:sz w:val="28"/>
              <w:szCs w:val="28"/>
              <w:highlight w:val="none"/>
            </w:rPr>
            <w:fldChar w:fldCharType="begin"/>
          </w:r>
          <w:r>
            <w:rPr>
              <w:rFonts w:hint="eastAsia" w:ascii="Times New Roman" w:hAnsi="Times New Roman" w:eastAsia="黑体"/>
              <w:sz w:val="28"/>
              <w:szCs w:val="28"/>
              <w:highlight w:val="none"/>
            </w:rPr>
            <w:instrText xml:space="preserve"> HYPERLINK \l _Toc15231 </w:instrText>
          </w:r>
          <w:r>
            <w:rPr>
              <w:rFonts w:hint="eastAsia" w:ascii="Times New Roman" w:hAnsi="Times New Roman" w:eastAsia="黑体"/>
              <w:sz w:val="28"/>
              <w:szCs w:val="28"/>
              <w:highlight w:val="none"/>
            </w:rPr>
            <w:fldChar w:fldCharType="separate"/>
          </w:r>
          <w:r>
            <w:rPr>
              <w:rFonts w:hint="eastAsia" w:ascii="Times New Roman" w:hAnsi="Times New Roman" w:eastAsia="黑体"/>
              <w:sz w:val="28"/>
              <w:szCs w:val="28"/>
              <w:highlight w:val="none"/>
              <w:lang w:eastAsia="zh-CN"/>
            </w:rPr>
            <w:t>十二、</w:t>
          </w:r>
          <w:r>
            <w:rPr>
              <w:rFonts w:hint="eastAsia" w:ascii="Times New Roman" w:hAnsi="Times New Roman" w:eastAsia="黑体"/>
              <w:sz w:val="28"/>
              <w:szCs w:val="28"/>
              <w:highlight w:val="none"/>
            </w:rPr>
            <w:t>附件</w:t>
          </w:r>
          <w:r>
            <w:rPr>
              <w:sz w:val="28"/>
              <w:szCs w:val="28"/>
            </w:rPr>
            <w:tab/>
          </w:r>
          <w:r>
            <w:rPr>
              <w:sz w:val="28"/>
              <w:szCs w:val="28"/>
            </w:rPr>
            <w:fldChar w:fldCharType="begin"/>
          </w:r>
          <w:r>
            <w:rPr>
              <w:sz w:val="28"/>
              <w:szCs w:val="28"/>
            </w:rPr>
            <w:instrText xml:space="preserve"> PAGEREF _Toc15231 \h </w:instrText>
          </w:r>
          <w:r>
            <w:rPr>
              <w:sz w:val="28"/>
              <w:szCs w:val="28"/>
            </w:rPr>
            <w:fldChar w:fldCharType="separate"/>
          </w:r>
          <w:r>
            <w:rPr>
              <w:sz w:val="28"/>
              <w:szCs w:val="28"/>
            </w:rPr>
            <w:t>9</w:t>
          </w:r>
          <w:r>
            <w:rPr>
              <w:sz w:val="28"/>
              <w:szCs w:val="28"/>
            </w:rPr>
            <w:fldChar w:fldCharType="end"/>
          </w:r>
          <w:r>
            <w:rPr>
              <w:rFonts w:hint="eastAsia" w:ascii="Times New Roman" w:hAnsi="Times New Roman" w:eastAsia="黑体"/>
              <w:sz w:val="28"/>
              <w:szCs w:val="28"/>
              <w:highlight w:val="none"/>
            </w:rPr>
            <w:fldChar w:fldCharType="end"/>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黑体"/>
              <w:sz w:val="28"/>
              <w:szCs w:val="28"/>
              <w:highlight w:val="none"/>
            </w:rPr>
          </w:pPr>
          <w:r>
            <w:rPr>
              <w:rFonts w:hint="eastAsia" w:ascii="Times New Roman" w:hAnsi="Times New Roman" w:eastAsia="黑体"/>
              <w:szCs w:val="28"/>
              <w:highlight w:val="none"/>
            </w:rPr>
            <w:fldChar w:fldCharType="end"/>
          </w:r>
        </w:p>
      </w:sdtContent>
    </w:sdt>
    <w:p>
      <w:pPr>
        <w:keepNext w:val="0"/>
        <w:keepLines w:val="0"/>
        <w:pageBreakBefore w:val="0"/>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p>
    <w:p>
      <w:pPr>
        <w:keepNext w:val="0"/>
        <w:keepLines w:val="0"/>
        <w:pageBreakBefore w:val="0"/>
        <w:kinsoku/>
        <w:wordWrap/>
        <w:topLinePunct w:val="0"/>
        <w:autoSpaceDE/>
        <w:autoSpaceDN/>
        <w:bidi w:val="0"/>
        <w:spacing w:line="590" w:lineRule="exact"/>
        <w:textAlignment w:val="auto"/>
        <w:outlineLvl w:val="0"/>
        <w:rPr>
          <w:rFonts w:hint="eastAsia" w:ascii="Times New Roman" w:hAnsi="Times New Roman" w:eastAsia="黑体" w:cs="Times New Roman"/>
          <w:kern w:val="0"/>
          <w:sz w:val="32"/>
          <w:szCs w:val="32"/>
          <w:highlight w:val="none"/>
          <w:lang w:val="en-US" w:eastAsia="zh-CN" w:bidi="ar"/>
        </w:rPr>
        <w:sectPr>
          <w:pgSz w:w="11906" w:h="16838"/>
          <w:pgMar w:top="1440" w:right="1800" w:bottom="1440" w:left="1800" w:header="850" w:footer="1474" w:gutter="0"/>
          <w:pgBorders w:offsetFrom="page">
            <w:top w:val="none" w:sz="0" w:space="0"/>
            <w:left w:val="none" w:sz="0" w:space="0"/>
            <w:bottom w:val="none" w:sz="0" w:space="0"/>
            <w:right w:val="none" w:sz="0" w:space="0"/>
          </w:pgBorders>
          <w:pgNumType w:fmt="numberInDash" w:start="3"/>
          <w:cols w:space="0" w:num="1"/>
          <w:rtlGutter w:val="0"/>
          <w:docGrid w:type="lines" w:linePitch="312" w:charSpace="0"/>
        </w:sectPr>
      </w:pPr>
    </w:p>
    <w:p>
      <w:pPr>
        <w:keepNext w:val="0"/>
        <w:keepLines w:val="0"/>
        <w:pageBreakBefore w:val="0"/>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bookmarkStart w:id="2" w:name="_Toc5067"/>
      <w:r>
        <w:rPr>
          <w:rFonts w:hint="eastAsia" w:ascii="Times New Roman" w:hAnsi="Times New Roman" w:eastAsia="黑体" w:cs="Times New Roman"/>
          <w:kern w:val="0"/>
          <w:sz w:val="32"/>
          <w:szCs w:val="32"/>
          <w:highlight w:val="none"/>
          <w:lang w:val="en-US" w:eastAsia="zh-CN" w:bidi="ar"/>
        </w:rPr>
        <w:t>一、基本职能及主要工作</w:t>
      </w:r>
      <w:bookmarkEnd w:id="2"/>
    </w:p>
    <w:p>
      <w:pPr>
        <w:keepNext w:val="0"/>
        <w:keepLines w:val="0"/>
        <w:pageBreakBefore w:val="0"/>
        <w:kinsoku/>
        <w:wordWrap/>
        <w:topLinePunct w:val="0"/>
        <w:autoSpaceDE/>
        <w:autoSpaceDN/>
        <w:bidi w:val="0"/>
        <w:spacing w:line="590" w:lineRule="exact"/>
        <w:ind w:firstLine="643" w:firstLineChars="200"/>
        <w:textAlignment w:val="auto"/>
        <w:outlineLvl w:val="1"/>
        <w:rPr>
          <w:rFonts w:hint="eastAsia"/>
        </w:rPr>
      </w:pPr>
      <w:bookmarkStart w:id="3" w:name="_Toc16174"/>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eastAsia="zh-CN"/>
        </w:rPr>
        <w:t>县政协办</w:t>
      </w:r>
      <w:r>
        <w:rPr>
          <w:rFonts w:hint="eastAsia" w:ascii="Times New Roman" w:hAnsi="Times New Roman" w:eastAsia="楷体_GB2312"/>
          <w:b/>
          <w:sz w:val="32"/>
          <w:szCs w:val="32"/>
          <w:highlight w:val="none"/>
        </w:rPr>
        <w:t>职能简介。</w:t>
      </w:r>
      <w:bookmarkEnd w:id="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仿宋" w:hAnsi="仿宋" w:eastAsia="仿宋" w:cs="仿宋"/>
          <w:sz w:val="33"/>
          <w:szCs w:val="33"/>
          <w:lang w:eastAsia="zh-CN"/>
        </w:rPr>
      </w:pPr>
      <w:r>
        <w:rPr>
          <w:rFonts w:hint="eastAsia" w:ascii="仿宋" w:hAnsi="仿宋" w:eastAsia="仿宋" w:cs="仿宋"/>
          <w:sz w:val="33"/>
          <w:szCs w:val="33"/>
          <w:lang w:eastAsia="zh-CN"/>
        </w:rPr>
        <w:t>根据</w:t>
      </w:r>
      <w:r>
        <w:rPr>
          <w:rFonts w:hint="eastAsia" w:ascii="仿宋" w:hAnsi="仿宋" w:eastAsia="仿宋" w:cs="仿宋"/>
          <w:sz w:val="33"/>
          <w:szCs w:val="33"/>
        </w:rPr>
        <w:t>县委批准的三定方案</w:t>
      </w:r>
      <w:r>
        <w:rPr>
          <w:rFonts w:hint="eastAsia" w:ascii="仿宋" w:hAnsi="仿宋" w:eastAsia="仿宋" w:cs="仿宋"/>
          <w:sz w:val="33"/>
          <w:szCs w:val="33"/>
          <w:lang w:eastAsia="zh-CN"/>
        </w:rPr>
        <w:t>，县政协办的</w:t>
      </w:r>
      <w:r>
        <w:rPr>
          <w:rFonts w:hint="eastAsia" w:ascii="仿宋" w:hAnsi="仿宋" w:eastAsia="仿宋" w:cs="仿宋"/>
          <w:sz w:val="33"/>
          <w:szCs w:val="33"/>
        </w:rPr>
        <w:t>主要工作:</w:t>
      </w:r>
      <w:r>
        <w:rPr>
          <w:rFonts w:hint="eastAsia" w:ascii="仿宋" w:hAnsi="仿宋" w:eastAsia="仿宋" w:cs="仿宋"/>
          <w:sz w:val="33"/>
          <w:szCs w:val="33"/>
          <w:lang w:eastAsia="zh-CN"/>
        </w:rPr>
        <w:t>负责政协重要会议、活动的会务及组织协调；负责县政协委员视察、参观、调查等日常活动的组织实施；负责机关目标管理、任务分解、督查督办；负责机关接待、安保、电文收发、机构通讯、信息、信访、对外协调联络，以及国有资产管理、基础设施建设等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9"/>
        <w:rPr>
          <w:rFonts w:hint="eastAsia" w:ascii="Times New Roman" w:hAnsi="Times New Roman" w:eastAsia="楷体_GB2312"/>
          <w:b/>
          <w:sz w:val="32"/>
          <w:szCs w:val="32"/>
          <w:highlight w:val="none"/>
          <w:lang w:val="en-US" w:eastAsia="zh-CN"/>
        </w:rPr>
      </w:pPr>
      <w:r>
        <w:rPr>
          <w:rFonts w:hint="eastAsia" w:ascii="Times New Roman" w:hAnsi="Times New Roman" w:eastAsia="楷体_GB2312"/>
          <w:b/>
          <w:sz w:val="32"/>
          <w:szCs w:val="32"/>
          <w:highlight w:val="none"/>
          <w:lang w:eastAsia="zh-CN"/>
        </w:rPr>
        <w:t>（二）</w:t>
      </w:r>
      <w:r>
        <w:rPr>
          <w:rFonts w:hint="eastAsia" w:ascii="Times New Roman" w:hAnsi="Times New Roman" w:eastAsia="楷体_GB2312"/>
          <w:b/>
          <w:sz w:val="32"/>
          <w:szCs w:val="32"/>
          <w:highlight w:val="none"/>
          <w:lang w:eastAsia="zh-CN"/>
        </w:rPr>
        <w:t>县政协办</w:t>
      </w:r>
      <w:r>
        <w:rPr>
          <w:rFonts w:hint="eastAsia" w:ascii="Times New Roman" w:hAnsi="Times New Roman" w:eastAsia="楷体_GB2312"/>
          <w:b/>
          <w:sz w:val="32"/>
          <w:szCs w:val="32"/>
          <w:highlight w:val="none"/>
          <w:lang w:val="en-US" w:eastAsia="zh-CN"/>
        </w:rPr>
        <w:t>2023年重点工作。</w:t>
      </w:r>
    </w:p>
    <w:p>
      <w:pPr>
        <w:keepNext w:val="0"/>
        <w:keepLines w:val="0"/>
        <w:pageBreakBefore w:val="0"/>
        <w:widowControl w:val="0"/>
        <w:numPr>
          <w:numId w:val="0"/>
        </w:numPr>
        <w:kinsoku/>
        <w:wordWrap/>
        <w:overflowPunct/>
        <w:topLinePunct w:val="0"/>
        <w:autoSpaceDE/>
        <w:autoSpaceDN/>
        <w:bidi w:val="0"/>
        <w:adjustRightInd/>
        <w:snapToGrid/>
        <w:spacing w:line="590" w:lineRule="exact"/>
        <w:ind w:firstLine="660" w:firstLineChars="200"/>
        <w:textAlignment w:val="auto"/>
        <w:outlineLvl w:val="9"/>
        <w:rPr>
          <w:rFonts w:hint="eastAsia" w:ascii="仿宋" w:hAnsi="仿宋" w:eastAsia="仿宋" w:cs="仿宋"/>
          <w:sz w:val="33"/>
          <w:szCs w:val="33"/>
          <w:lang w:eastAsia="zh-CN"/>
        </w:rPr>
      </w:pPr>
      <w:r>
        <w:rPr>
          <w:rFonts w:hint="default" w:ascii="仿宋" w:hAnsi="仿宋" w:eastAsia="仿宋" w:cs="仿宋"/>
          <w:sz w:val="33"/>
          <w:szCs w:val="33"/>
          <w:lang w:val="en-US" w:eastAsia="zh-CN"/>
        </w:rPr>
        <w:t>2023年，是全面贯彻落实中共二十大重大部署的开</w:t>
      </w:r>
      <w:bookmarkStart w:id="24" w:name="_GoBack"/>
      <w:bookmarkEnd w:id="24"/>
      <w:r>
        <w:rPr>
          <w:rFonts w:hint="default" w:ascii="仿宋" w:hAnsi="仿宋" w:eastAsia="仿宋" w:cs="仿宋"/>
          <w:sz w:val="33"/>
          <w:szCs w:val="33"/>
          <w:lang w:val="en-US" w:eastAsia="zh-CN"/>
        </w:rPr>
        <w:t>局之年，也是加快同城融圈</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建设重庆都市圈北部副中心重要增长极的关键之年。县政协</w:t>
      </w:r>
      <w:r>
        <w:rPr>
          <w:rFonts w:hint="eastAsia" w:ascii="仿宋" w:hAnsi="仿宋" w:eastAsia="仿宋" w:cs="仿宋"/>
          <w:sz w:val="33"/>
          <w:szCs w:val="33"/>
          <w:lang w:val="en-US" w:eastAsia="zh-CN"/>
        </w:rPr>
        <w:t>办将</w:t>
      </w:r>
      <w:r>
        <w:rPr>
          <w:rFonts w:hint="default" w:ascii="仿宋" w:hAnsi="仿宋" w:eastAsia="仿宋" w:cs="仿宋"/>
          <w:sz w:val="33"/>
          <w:szCs w:val="33"/>
          <w:lang w:val="en-US" w:eastAsia="zh-CN"/>
        </w:rPr>
        <w:t>坚定以习近平新时代中国特色社会主义思想为指导，以深入落实省市关于加强和改进新时代市县政协工作实施意见为关键，全面贯彻中共二十大精神，紧紧围绕县委十三届</w:t>
      </w:r>
      <w:r>
        <w:rPr>
          <w:rFonts w:hint="eastAsia" w:ascii="仿宋" w:hAnsi="仿宋" w:eastAsia="仿宋" w:cs="仿宋"/>
          <w:sz w:val="33"/>
          <w:szCs w:val="33"/>
          <w:lang w:val="en-US" w:eastAsia="zh-CN"/>
        </w:rPr>
        <w:t>五</w:t>
      </w:r>
      <w:r>
        <w:rPr>
          <w:rFonts w:hint="default" w:ascii="仿宋" w:hAnsi="仿宋" w:eastAsia="仿宋" w:cs="仿宋"/>
          <w:sz w:val="33"/>
          <w:szCs w:val="33"/>
          <w:lang w:val="en-US" w:eastAsia="zh-CN"/>
        </w:rPr>
        <w:t>次全会暨县委经济工作会</w:t>
      </w:r>
      <w:r>
        <w:rPr>
          <w:rFonts w:hint="eastAsia" w:ascii="仿宋" w:hAnsi="仿宋" w:eastAsia="仿宋" w:cs="仿宋"/>
          <w:sz w:val="33"/>
          <w:szCs w:val="33"/>
          <w:lang w:val="en-US" w:eastAsia="zh-CN"/>
        </w:rPr>
        <w:t>议</w:t>
      </w:r>
      <w:r>
        <w:rPr>
          <w:rFonts w:hint="default" w:ascii="仿宋" w:hAnsi="仿宋" w:eastAsia="仿宋" w:cs="仿宋"/>
          <w:sz w:val="33"/>
          <w:szCs w:val="33"/>
          <w:lang w:val="en-US" w:eastAsia="zh-CN"/>
        </w:rPr>
        <w:t>提出的</w:t>
      </w:r>
      <w:r>
        <w:rPr>
          <w:rFonts w:hint="eastAsia" w:ascii="仿宋" w:hAnsi="仿宋" w:eastAsia="仿宋" w:cs="仿宋"/>
          <w:sz w:val="33"/>
          <w:szCs w:val="33"/>
          <w:lang w:val="en-US" w:eastAsia="zh-CN"/>
        </w:rPr>
        <w:t>争创全省县域经济发展先进县、建好新时代“红武胜”目标</w:t>
      </w:r>
      <w:r>
        <w:rPr>
          <w:rFonts w:hint="default" w:ascii="仿宋" w:hAnsi="仿宋" w:eastAsia="仿宋" w:cs="仿宋"/>
          <w:sz w:val="33"/>
          <w:szCs w:val="33"/>
          <w:lang w:val="en-US" w:eastAsia="zh-CN"/>
        </w:rPr>
        <w:t>，坚持团结民主两大主题，充分发挥专门协商机构作用，全面提升政治协商、民主监督、参政议政、凝聚共识质效，努力为实现全县经济总量突破300亿元，</w:t>
      </w:r>
      <w:r>
        <w:rPr>
          <w:rFonts w:hint="eastAsia" w:ascii="仿宋" w:hAnsi="仿宋" w:eastAsia="仿宋" w:cs="仿宋"/>
          <w:sz w:val="33"/>
          <w:szCs w:val="33"/>
          <w:lang w:val="en-US" w:eastAsia="zh-CN"/>
        </w:rPr>
        <w:t>在同城融圈中勇立潮头当先锋</w:t>
      </w:r>
      <w:r>
        <w:rPr>
          <w:rFonts w:hint="default" w:ascii="仿宋" w:hAnsi="仿宋" w:eastAsia="仿宋" w:cs="仿宋"/>
          <w:sz w:val="33"/>
          <w:szCs w:val="33"/>
          <w:lang w:val="en-US" w:eastAsia="zh-CN"/>
        </w:rPr>
        <w:t>贡献政协智慧和力量。一</w:t>
      </w:r>
      <w:r>
        <w:rPr>
          <w:rFonts w:hint="eastAsia" w:ascii="仿宋" w:hAnsi="仿宋" w:eastAsia="仿宋" w:cs="仿宋"/>
          <w:sz w:val="33"/>
          <w:szCs w:val="33"/>
          <w:lang w:val="en-US" w:eastAsia="zh-CN"/>
        </w:rPr>
        <w:t>是</w:t>
      </w:r>
      <w:r>
        <w:rPr>
          <w:rFonts w:hint="default" w:ascii="仿宋" w:hAnsi="仿宋" w:eastAsia="仿宋" w:cs="仿宋"/>
          <w:sz w:val="33"/>
          <w:szCs w:val="33"/>
          <w:lang w:val="en-US" w:eastAsia="zh-CN"/>
        </w:rPr>
        <w:t>坚持根本原则，以更高站位护好思想政治</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定盘星</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坚持党对政协工作的全面领导，以党的旗帜为旗帜、以党的方向为方向，不断夯实政治基础，坚定政治定力，确保政协事业始终沿着正确方向前进。二</w:t>
      </w:r>
      <w:r>
        <w:rPr>
          <w:rFonts w:hint="eastAsia" w:ascii="仿宋" w:hAnsi="仿宋" w:eastAsia="仿宋" w:cs="仿宋"/>
          <w:sz w:val="33"/>
          <w:szCs w:val="33"/>
          <w:lang w:val="en-US" w:eastAsia="zh-CN"/>
        </w:rPr>
        <w:t>是</w:t>
      </w:r>
      <w:r>
        <w:rPr>
          <w:rFonts w:hint="default" w:ascii="仿宋" w:hAnsi="仿宋" w:eastAsia="仿宋" w:cs="仿宋"/>
          <w:sz w:val="33"/>
          <w:szCs w:val="33"/>
          <w:lang w:val="en-US" w:eastAsia="zh-CN"/>
        </w:rPr>
        <w:t>坚持围绕中心，以更实举措做好发展大局</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助推器</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坚持建言资政和凝聚共识双向发力，做到议党委所谋、助政府所为、想群众所想，引导委员围绕全县中心大局积极建言资政的同时，最大限度统一思想、凝聚共识、增进合力。三</w:t>
      </w:r>
      <w:r>
        <w:rPr>
          <w:rFonts w:hint="eastAsia" w:ascii="仿宋" w:hAnsi="仿宋" w:eastAsia="仿宋" w:cs="仿宋"/>
          <w:sz w:val="33"/>
          <w:szCs w:val="33"/>
          <w:lang w:val="en-US" w:eastAsia="zh-CN"/>
        </w:rPr>
        <w:t>是</w:t>
      </w:r>
      <w:r>
        <w:rPr>
          <w:rFonts w:hint="default" w:ascii="仿宋" w:hAnsi="仿宋" w:eastAsia="仿宋" w:cs="仿宋"/>
          <w:sz w:val="33"/>
          <w:szCs w:val="33"/>
          <w:lang w:val="en-US" w:eastAsia="zh-CN"/>
        </w:rPr>
        <w:t>坚持提质为要，以更强担当当好协商民主</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排头兵</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坚持深入践行全过程人民民主，推进基层协商民主广泛多层制度化发展，不断提升协商工作质效。围绕有序推进重庆四环重要交通节点建设，工业深度融入重庆都市圈产业链、农业深度融入重庆都市圈供应链、商贸物流深度融入重庆都市圈消费供应链、文旅深度融入重庆都市圈需求链，与重庆毗邻乡镇产业基地一体建设、毗邻集镇集约发展，与周边市县生态保护同向发力、环境污染协同治理等开展重点协商，助推中央、省委、市委、县委决策部署落地落实。通过调研视察、委派民主监督、撰写提案、督导提案办理、报送社情民意等方式，围绕提高省级文明城</w:t>
      </w:r>
      <w:r>
        <w:rPr>
          <w:rFonts w:hint="eastAsia" w:ascii="仿宋" w:hAnsi="仿宋" w:eastAsia="仿宋" w:cs="仿宋"/>
          <w:sz w:val="33"/>
          <w:szCs w:val="33"/>
          <w:lang w:val="en-US" w:eastAsia="zh-CN"/>
        </w:rPr>
        <w:t>市</w:t>
      </w:r>
      <w:r>
        <w:rPr>
          <w:rFonts w:hint="default" w:ascii="仿宋" w:hAnsi="仿宋" w:eastAsia="仿宋" w:cs="仿宋"/>
          <w:sz w:val="33"/>
          <w:szCs w:val="33"/>
          <w:lang w:val="en-US" w:eastAsia="zh-CN"/>
        </w:rPr>
        <w:t>创建成效、加强乡村公共卫生体系建设、全面推进全县中小学体育工作</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建设智慧城市、共享优质教育资源</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依法治县等开展协商式监督，助力民生改善。积极打造</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武事聚共识</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胜在多商量</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武胜协商品牌，完善协商机制制度，拓展协商载体，将协商平台</w:t>
      </w:r>
      <w:r>
        <w:rPr>
          <w:rFonts w:hint="eastAsia" w:ascii="仿宋" w:hAnsi="仿宋" w:eastAsia="仿宋" w:cs="仿宋"/>
          <w:sz w:val="33"/>
          <w:szCs w:val="33"/>
          <w:lang w:val="en-US" w:eastAsia="zh-CN"/>
        </w:rPr>
        <w:t>搭</w:t>
      </w:r>
      <w:r>
        <w:rPr>
          <w:rFonts w:hint="default" w:ascii="仿宋" w:hAnsi="仿宋" w:eastAsia="仿宋" w:cs="仿宋"/>
          <w:sz w:val="33"/>
          <w:szCs w:val="33"/>
          <w:lang w:val="en-US" w:eastAsia="zh-CN"/>
        </w:rPr>
        <w:t>建在产业链、产业基地、园区、企业、村（社区），协商议事延伸到项目建设、产业发展、民生改善</w:t>
      </w:r>
      <w:r>
        <w:rPr>
          <w:rFonts w:hint="eastAsia" w:ascii="仿宋" w:hAnsi="仿宋" w:eastAsia="仿宋" w:cs="仿宋"/>
          <w:sz w:val="33"/>
          <w:szCs w:val="33"/>
          <w:lang w:val="en-US" w:eastAsia="zh-CN"/>
        </w:rPr>
        <w:t>和</w:t>
      </w:r>
      <w:r>
        <w:rPr>
          <w:rFonts w:hint="default" w:ascii="仿宋" w:hAnsi="仿宋" w:eastAsia="仿宋" w:cs="仿宋"/>
          <w:sz w:val="33"/>
          <w:szCs w:val="33"/>
          <w:lang w:val="en-US" w:eastAsia="zh-CN"/>
        </w:rPr>
        <w:t>社会治理最前沿、最末梢。广泛征集协商议题，强化协商闭环流程，灵活开展小微协商，助推基层社会治理、乡风文明</w:t>
      </w:r>
      <w:r>
        <w:rPr>
          <w:rFonts w:hint="eastAsia" w:ascii="仿宋" w:hAnsi="仿宋" w:eastAsia="仿宋" w:cs="仿宋"/>
          <w:sz w:val="33"/>
          <w:szCs w:val="33"/>
          <w:lang w:val="en-US" w:eastAsia="zh-CN"/>
        </w:rPr>
        <w:t>建设</w:t>
      </w:r>
      <w:r>
        <w:rPr>
          <w:rFonts w:hint="default" w:ascii="仿宋" w:hAnsi="仿宋" w:eastAsia="仿宋" w:cs="仿宋"/>
          <w:sz w:val="33"/>
          <w:szCs w:val="33"/>
          <w:lang w:val="en-US" w:eastAsia="zh-CN"/>
        </w:rPr>
        <w:t>，不断提升</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有事来协商</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工作质效，更好发挥政协协商在发展全过程人民民主中的优势和作用。四</w:t>
      </w:r>
      <w:r>
        <w:rPr>
          <w:rFonts w:hint="eastAsia" w:ascii="仿宋" w:hAnsi="仿宋" w:eastAsia="仿宋" w:cs="仿宋"/>
          <w:sz w:val="33"/>
          <w:szCs w:val="33"/>
          <w:lang w:val="en-US" w:eastAsia="zh-CN"/>
        </w:rPr>
        <w:t>是</w:t>
      </w:r>
      <w:r>
        <w:rPr>
          <w:rFonts w:hint="default" w:ascii="仿宋" w:hAnsi="仿宋" w:eastAsia="仿宋" w:cs="仿宋"/>
          <w:sz w:val="33"/>
          <w:szCs w:val="33"/>
          <w:lang w:val="en-US" w:eastAsia="zh-CN"/>
        </w:rPr>
        <w:t>坚持求真务实，以更高标准把好人民政协</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压舱石</w:t>
      </w:r>
      <w:r>
        <w:rPr>
          <w:rFonts w:hint="eastAsia" w:ascii="仿宋" w:hAnsi="仿宋" w:eastAsia="仿宋" w:cs="仿宋"/>
          <w:sz w:val="33"/>
          <w:szCs w:val="33"/>
          <w:lang w:val="en-US" w:eastAsia="zh-CN"/>
        </w:rPr>
        <w:t>”，</w:t>
      </w:r>
      <w:r>
        <w:rPr>
          <w:rFonts w:hint="default" w:ascii="仿宋" w:hAnsi="仿宋" w:eastAsia="仿宋" w:cs="仿宋"/>
          <w:sz w:val="33"/>
          <w:szCs w:val="33"/>
          <w:lang w:val="en-US" w:eastAsia="zh-CN"/>
        </w:rPr>
        <w:t>坚持政治引领、党建铸魂、数字赋能，高标准严要求全面推进政协自身建设，努力形成以党建强政治、带队伍、促履职的良好局面。</w:t>
      </w:r>
    </w:p>
    <w:p>
      <w:pPr>
        <w:keepNext w:val="0"/>
        <w:keepLines w:val="0"/>
        <w:pageBreakBefore w:val="0"/>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kern w:val="0"/>
          <w:sz w:val="32"/>
          <w:szCs w:val="32"/>
          <w:highlight w:val="none"/>
          <w:lang w:val="en-US" w:eastAsia="zh-CN" w:bidi="ar"/>
        </w:rPr>
      </w:pPr>
      <w:bookmarkStart w:id="4" w:name="_Toc25344"/>
      <w:r>
        <w:rPr>
          <w:rFonts w:hint="eastAsia" w:ascii="Times New Roman" w:hAnsi="Times New Roman" w:eastAsia="黑体" w:cs="Times New Roman"/>
          <w:kern w:val="0"/>
          <w:sz w:val="32"/>
          <w:szCs w:val="32"/>
          <w:highlight w:val="none"/>
          <w:lang w:val="en-US" w:eastAsia="zh-CN" w:bidi="ar"/>
        </w:rPr>
        <w:t>二、部门预算单位构成情况</w:t>
      </w:r>
      <w:bookmarkEnd w:id="4"/>
    </w:p>
    <w:p>
      <w:pPr>
        <w:pStyle w:val="3"/>
        <w:keepNext w:val="0"/>
        <w:keepLines w:val="0"/>
        <w:pageBreakBefore w:val="0"/>
        <w:widowControl w:val="0"/>
        <w:kinsoku/>
        <w:wordWrap/>
        <w:overflowPunct/>
        <w:topLinePunct w:val="0"/>
        <w:autoSpaceDE/>
        <w:autoSpaceDN/>
        <w:bidi w:val="0"/>
        <w:adjustRightInd w:val="0"/>
        <w:snapToGrid/>
        <w:spacing w:before="0" w:after="0" w:line="590" w:lineRule="exact"/>
        <w:ind w:firstLine="672" w:firstLineChars="21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县政协办属一级预算单位，无下属预算单位。机关内设2个科级办事机构即办公室、研究室。</w:t>
      </w:r>
    </w:p>
    <w:p>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根据政协章程规定和工作需要，县政协设置工作机构八个：提案委、委员联络委、经济委、文化文史和学习委、农业和农村委、教科卫体委、法制联谊委、人资环委。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0"/>
        <w:rPr>
          <w:rFonts w:hint="eastAsia" w:ascii="Times New Roman" w:hAnsi="Times New Roman" w:eastAsia="黑体" w:cs="Times New Roman"/>
          <w:sz w:val="32"/>
          <w:szCs w:val="32"/>
          <w:highlight w:val="none"/>
        </w:rPr>
      </w:pPr>
      <w:bookmarkStart w:id="5" w:name="_Toc27401"/>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bookmarkEnd w:id="5"/>
    </w:p>
    <w:p>
      <w:pPr>
        <w:keepNext w:val="0"/>
        <w:keepLines w:val="0"/>
        <w:pageBreakBefore w:val="0"/>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u w:val="none"/>
        </w:rPr>
      </w:pPr>
      <w:r>
        <w:rPr>
          <w:rFonts w:hint="eastAsia" w:ascii="Times New Roman" w:hAnsi="Times New Roman" w:eastAsia="仿宋" w:cs="仿宋"/>
          <w:sz w:val="32"/>
          <w:szCs w:val="32"/>
          <w:highlight w:val="none"/>
          <w:u w:val="none"/>
        </w:rPr>
        <w:t>按照综合预算的原则，</w:t>
      </w:r>
      <w:r>
        <w:rPr>
          <w:rFonts w:hint="eastAsia" w:ascii="Times New Roman" w:hAnsi="Times New Roman" w:eastAsia="仿宋" w:cs="仿宋"/>
          <w:sz w:val="32"/>
          <w:szCs w:val="32"/>
          <w:highlight w:val="none"/>
          <w:u w:val="none"/>
          <w:lang w:eastAsia="zh-CN"/>
        </w:rPr>
        <w:t>县政协办</w:t>
      </w:r>
      <w:r>
        <w:rPr>
          <w:rFonts w:hint="eastAsia" w:ascii="Times New Roman" w:hAnsi="Times New Roman" w:eastAsia="仿宋" w:cs="仿宋"/>
          <w:sz w:val="32"/>
          <w:szCs w:val="32"/>
          <w:highlight w:val="none"/>
          <w:u w:val="none"/>
        </w:rPr>
        <w:t>所有收入和支出均纳入部门预算管理。收入包括：一般公共预算拨款收入；支出包括：一般公共服务支出、社会保障和就业支出</w:t>
      </w:r>
      <w:r>
        <w:rPr>
          <w:rFonts w:hint="eastAsia" w:ascii="Times New Roman" w:hAnsi="Times New Roman" w:eastAsia="仿宋" w:cs="仿宋"/>
          <w:sz w:val="32"/>
          <w:szCs w:val="32"/>
          <w:highlight w:val="none"/>
          <w:u w:val="none"/>
          <w:lang w:eastAsia="zh-CN"/>
        </w:rPr>
        <w:t>、卫生健康支出、住房保障支出</w:t>
      </w:r>
      <w:r>
        <w:rPr>
          <w:rFonts w:hint="eastAsia" w:ascii="Times New Roman" w:hAnsi="Times New Roman" w:eastAsia="仿宋" w:cs="仿宋"/>
          <w:sz w:val="32"/>
          <w:szCs w:val="32"/>
          <w:highlight w:val="none"/>
          <w:u w:val="none"/>
        </w:rPr>
        <w:t>。</w:t>
      </w:r>
      <w:r>
        <w:rPr>
          <w:rFonts w:hint="eastAsia" w:ascii="Times New Roman" w:hAnsi="Times New Roman" w:eastAsia="仿宋" w:cs="仿宋"/>
          <w:sz w:val="32"/>
          <w:szCs w:val="32"/>
          <w:highlight w:val="none"/>
          <w:u w:val="none"/>
          <w:lang w:eastAsia="zh-CN"/>
        </w:rPr>
        <w:t>县政协办202</w:t>
      </w:r>
      <w:r>
        <w:rPr>
          <w:rFonts w:hint="eastAsia" w:ascii="Times New Roman" w:hAnsi="Times New Roman" w:eastAsia="仿宋" w:cs="仿宋"/>
          <w:sz w:val="32"/>
          <w:szCs w:val="32"/>
          <w:highlight w:val="none"/>
          <w:u w:val="none"/>
          <w:lang w:val="en-US" w:eastAsia="zh-CN"/>
        </w:rPr>
        <w:t>3</w:t>
      </w:r>
      <w:r>
        <w:rPr>
          <w:rFonts w:hint="eastAsia" w:ascii="Times New Roman" w:hAnsi="Times New Roman" w:eastAsia="仿宋" w:cs="仿宋"/>
          <w:sz w:val="32"/>
          <w:szCs w:val="32"/>
          <w:highlight w:val="none"/>
          <w:u w:val="none"/>
          <w:lang w:eastAsia="zh-CN"/>
        </w:rPr>
        <w:t>年</w:t>
      </w:r>
      <w:r>
        <w:rPr>
          <w:rFonts w:hint="eastAsia" w:ascii="Times New Roman" w:hAnsi="Times New Roman" w:eastAsia="仿宋" w:cs="仿宋"/>
          <w:sz w:val="32"/>
          <w:szCs w:val="32"/>
          <w:highlight w:val="none"/>
          <w:u w:val="none"/>
        </w:rPr>
        <w:t>收支预算</w:t>
      </w:r>
      <w:r>
        <w:rPr>
          <w:rFonts w:hint="eastAsia" w:ascii="Times New Roman" w:hAnsi="Times New Roman" w:eastAsia="仿宋" w:cs="仿宋"/>
          <w:sz w:val="32"/>
          <w:szCs w:val="32"/>
          <w:highlight w:val="none"/>
          <w:u w:val="none"/>
          <w:lang w:eastAsia="zh-CN"/>
        </w:rPr>
        <w:t>总数</w:t>
      </w:r>
      <w:r>
        <w:rPr>
          <w:rFonts w:hint="eastAsia" w:ascii="Times New Roman" w:hAnsi="Times New Roman" w:eastAsia="仿宋" w:cs="仿宋"/>
          <w:sz w:val="32"/>
          <w:szCs w:val="32"/>
          <w:highlight w:val="none"/>
          <w:u w:val="none"/>
          <w:lang w:val="en-US" w:eastAsia="zh-CN"/>
        </w:rPr>
        <w:t>1061.32</w:t>
      </w:r>
      <w:r>
        <w:rPr>
          <w:rFonts w:hint="eastAsia" w:ascii="Times New Roman" w:hAnsi="Times New Roman" w:eastAsia="仿宋" w:cs="仿宋"/>
          <w:sz w:val="32"/>
          <w:szCs w:val="32"/>
          <w:highlight w:val="none"/>
          <w:u w:val="none"/>
        </w:rPr>
        <w:t>万元</w:t>
      </w:r>
      <w:r>
        <w:rPr>
          <w:rFonts w:hint="eastAsia" w:ascii="Times New Roman" w:hAnsi="Times New Roman" w:eastAsia="仿宋" w:cs="仿宋"/>
          <w:sz w:val="32"/>
          <w:szCs w:val="32"/>
          <w:highlight w:val="none"/>
          <w:u w:val="none"/>
          <w:lang w:eastAsia="zh-CN"/>
        </w:rPr>
        <w:t>，</w:t>
      </w:r>
      <w:r>
        <w:rPr>
          <w:rFonts w:hint="eastAsia" w:ascii="Times New Roman" w:hAnsi="Times New Roman" w:eastAsia="仿宋" w:cs="仿宋"/>
          <w:sz w:val="32"/>
          <w:szCs w:val="32"/>
          <w:highlight w:val="none"/>
          <w:u w:val="none"/>
        </w:rPr>
        <w:t>比</w:t>
      </w:r>
      <w:r>
        <w:rPr>
          <w:rFonts w:hint="eastAsia" w:ascii="Times New Roman" w:hAnsi="Times New Roman" w:eastAsia="仿宋" w:cs="仿宋"/>
          <w:sz w:val="32"/>
          <w:szCs w:val="32"/>
          <w:highlight w:val="none"/>
          <w:u w:val="none"/>
          <w:lang w:eastAsia="zh-CN"/>
        </w:rPr>
        <w:t>202</w:t>
      </w:r>
      <w:r>
        <w:rPr>
          <w:rFonts w:hint="eastAsia" w:ascii="Times New Roman" w:hAnsi="Times New Roman" w:eastAsia="仿宋" w:cs="仿宋"/>
          <w:sz w:val="32"/>
          <w:szCs w:val="32"/>
          <w:highlight w:val="none"/>
          <w:u w:val="none"/>
          <w:lang w:val="en-US" w:eastAsia="zh-CN"/>
        </w:rPr>
        <w:t>2</w:t>
      </w:r>
      <w:r>
        <w:rPr>
          <w:rFonts w:hint="eastAsia" w:ascii="Times New Roman" w:hAnsi="Times New Roman" w:eastAsia="仿宋" w:cs="仿宋"/>
          <w:sz w:val="32"/>
          <w:szCs w:val="32"/>
          <w:highlight w:val="none"/>
          <w:u w:val="none"/>
          <w:lang w:eastAsia="zh-CN"/>
        </w:rPr>
        <w:t>年</w:t>
      </w:r>
      <w:r>
        <w:rPr>
          <w:rFonts w:hint="eastAsia" w:ascii="Times New Roman" w:hAnsi="Times New Roman" w:eastAsia="仿宋" w:cs="仿宋"/>
          <w:sz w:val="32"/>
          <w:szCs w:val="32"/>
          <w:highlight w:val="none"/>
          <w:u w:val="none"/>
        </w:rPr>
        <w:t>收支预算总数增加</w:t>
      </w:r>
      <w:r>
        <w:rPr>
          <w:rFonts w:hint="eastAsia" w:ascii="Times New Roman" w:hAnsi="Times New Roman" w:eastAsia="仿宋" w:cs="仿宋"/>
          <w:sz w:val="32"/>
          <w:szCs w:val="32"/>
          <w:highlight w:val="none"/>
          <w:u w:val="none"/>
          <w:lang w:val="en-US" w:eastAsia="zh-CN"/>
        </w:rPr>
        <w:t>342.48</w:t>
      </w:r>
      <w:r>
        <w:rPr>
          <w:rFonts w:hint="eastAsia" w:ascii="Times New Roman" w:hAnsi="Times New Roman" w:eastAsia="仿宋" w:cs="仿宋"/>
          <w:sz w:val="32"/>
          <w:szCs w:val="32"/>
          <w:highlight w:val="none"/>
          <w:u w:val="none"/>
        </w:rPr>
        <w:t>万元，</w:t>
      </w:r>
      <w:r>
        <w:rPr>
          <w:rFonts w:hint="eastAsia" w:ascii="Times New Roman" w:hAnsi="Times New Roman" w:eastAsia="仿宋" w:cs="仿宋"/>
          <w:sz w:val="33"/>
          <w:szCs w:val="33"/>
          <w:u w:val="none"/>
          <w:lang w:val="en-US" w:eastAsia="zh-CN"/>
        </w:rPr>
        <w:t>主要原因是在职人员增加及在职人员基础绩效奖、退休人员生活补贴纳入年初预算，以及住房公积金、养老保险等单位部分预算增加。</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lang w:val="en-US" w:eastAsia="zh-CN"/>
        </w:rPr>
      </w:pPr>
      <w:bookmarkStart w:id="6" w:name="_Toc2080"/>
      <w:r>
        <w:rPr>
          <w:rFonts w:hint="eastAsia" w:ascii="Times New Roman" w:hAnsi="Times New Roman" w:eastAsia="楷体_GB2312" w:cs="Times New Roman"/>
          <w:b/>
          <w:sz w:val="32"/>
          <w:szCs w:val="32"/>
          <w:highlight w:val="none"/>
          <w:lang w:val="en-US" w:eastAsia="zh-CN"/>
        </w:rPr>
        <w:t>（一）收入预算情况</w:t>
      </w:r>
      <w:bookmarkEnd w:id="6"/>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w:t>
      </w:r>
      <w:r>
        <w:rPr>
          <w:rFonts w:hint="eastAsia" w:ascii="Times New Roman" w:hAnsi="Times New Roman" w:eastAsia="仿宋" w:cs="仿宋"/>
          <w:sz w:val="32"/>
          <w:szCs w:val="32"/>
          <w:highlight w:val="none"/>
        </w:rPr>
        <w:t>收入预算</w:t>
      </w:r>
      <w:r>
        <w:rPr>
          <w:rFonts w:hint="eastAsia" w:ascii="Times New Roman" w:hAnsi="Times New Roman" w:eastAsia="仿宋" w:cs="仿宋"/>
          <w:sz w:val="32"/>
          <w:szCs w:val="32"/>
          <w:highlight w:val="none"/>
          <w:lang w:val="en-US" w:eastAsia="zh-CN"/>
        </w:rPr>
        <w:t>567.94</w:t>
      </w:r>
      <w:r>
        <w:rPr>
          <w:rFonts w:hint="eastAsia" w:ascii="Times New Roman" w:hAnsi="Times New Roman" w:eastAsia="仿宋" w:cs="仿宋"/>
          <w:sz w:val="32"/>
          <w:szCs w:val="32"/>
          <w:highlight w:val="none"/>
        </w:rPr>
        <w:t>万元，其中：上年结转</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万元，占</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%；一般公共预算拨款收入</w:t>
      </w:r>
      <w:r>
        <w:rPr>
          <w:rFonts w:hint="eastAsia" w:ascii="Times New Roman" w:hAnsi="Times New Roman" w:eastAsia="仿宋" w:cs="仿宋"/>
          <w:sz w:val="32"/>
          <w:szCs w:val="32"/>
          <w:highlight w:val="none"/>
          <w:lang w:val="en-US" w:eastAsia="zh-CN"/>
        </w:rPr>
        <w:t>567.94</w:t>
      </w:r>
      <w:r>
        <w:rPr>
          <w:rFonts w:hint="eastAsia" w:ascii="Times New Roman" w:hAnsi="Times New Roman" w:eastAsia="仿宋" w:cs="仿宋"/>
          <w:sz w:val="32"/>
          <w:szCs w:val="32"/>
          <w:highlight w:val="none"/>
        </w:rPr>
        <w:t>万元，占</w:t>
      </w:r>
      <w:r>
        <w:rPr>
          <w:rFonts w:hint="eastAsia" w:ascii="Times New Roman" w:hAnsi="Times New Roman" w:eastAsia="仿宋" w:cs="仿宋"/>
          <w:sz w:val="32"/>
          <w:szCs w:val="32"/>
          <w:highlight w:val="none"/>
          <w:lang w:val="en-US" w:eastAsia="zh-CN"/>
        </w:rPr>
        <w:t>100</w:t>
      </w:r>
      <w:r>
        <w:rPr>
          <w:rFonts w:hint="eastAsia" w:ascii="Times New Roman" w:hAnsi="Times New Roman" w:eastAsia="仿宋" w:cs="仿宋"/>
          <w:sz w:val="32"/>
          <w:szCs w:val="32"/>
          <w:highlight w:val="none"/>
        </w:rPr>
        <w:t>%；政府性基金预算拨款收入</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万元，占</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%；事业收入</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万元，占</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lang w:val="en-US" w:eastAsia="zh-CN"/>
        </w:rPr>
      </w:pPr>
      <w:bookmarkStart w:id="7" w:name="_Toc8764"/>
      <w:r>
        <w:rPr>
          <w:rFonts w:hint="eastAsia" w:ascii="Times New Roman" w:hAnsi="Times New Roman" w:eastAsia="楷体_GB2312" w:cs="Times New Roman"/>
          <w:b/>
          <w:sz w:val="32"/>
          <w:szCs w:val="32"/>
          <w:highlight w:val="none"/>
          <w:lang w:val="en-US" w:eastAsia="zh-CN"/>
        </w:rPr>
        <w:t>（二）支出预算情况</w:t>
      </w:r>
      <w:bookmarkEnd w:id="7"/>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年支出预算</w:t>
      </w:r>
      <w:r>
        <w:rPr>
          <w:rFonts w:hint="eastAsia" w:ascii="Times New Roman" w:hAnsi="Times New Roman" w:eastAsia="仿宋" w:cs="仿宋"/>
          <w:sz w:val="32"/>
          <w:szCs w:val="32"/>
          <w:highlight w:val="none"/>
          <w:lang w:val="en-US" w:eastAsia="zh-CN"/>
        </w:rPr>
        <w:t>493.38</w:t>
      </w:r>
      <w:r>
        <w:rPr>
          <w:rFonts w:hint="eastAsia" w:ascii="Times New Roman" w:hAnsi="Times New Roman" w:eastAsia="仿宋" w:cs="仿宋"/>
          <w:sz w:val="32"/>
          <w:szCs w:val="32"/>
          <w:highlight w:val="none"/>
          <w:lang w:eastAsia="zh-CN"/>
        </w:rPr>
        <w:t>万元，其中：基本支出</w:t>
      </w:r>
      <w:r>
        <w:rPr>
          <w:rFonts w:hint="eastAsia" w:ascii="Times New Roman" w:hAnsi="Times New Roman" w:eastAsia="仿宋" w:cs="仿宋"/>
          <w:sz w:val="32"/>
          <w:szCs w:val="32"/>
          <w:highlight w:val="none"/>
          <w:lang w:val="en-US" w:eastAsia="zh-CN"/>
        </w:rPr>
        <w:t>360.38</w:t>
      </w:r>
      <w:r>
        <w:rPr>
          <w:rFonts w:hint="eastAsia" w:ascii="Times New Roman" w:hAnsi="Times New Roman" w:eastAsia="仿宋" w:cs="仿宋"/>
          <w:sz w:val="32"/>
          <w:szCs w:val="32"/>
          <w:highlight w:val="none"/>
          <w:lang w:eastAsia="zh-CN"/>
        </w:rPr>
        <w:t>万元，占</w:t>
      </w:r>
      <w:r>
        <w:rPr>
          <w:rFonts w:hint="eastAsia" w:ascii="Times New Roman" w:hAnsi="Times New Roman" w:eastAsia="仿宋" w:cs="仿宋"/>
          <w:sz w:val="32"/>
          <w:szCs w:val="32"/>
          <w:highlight w:val="none"/>
          <w:lang w:val="en-US" w:eastAsia="zh-CN"/>
        </w:rPr>
        <w:t>73.04</w:t>
      </w:r>
      <w:r>
        <w:rPr>
          <w:rFonts w:hint="eastAsia" w:ascii="Times New Roman" w:hAnsi="Times New Roman" w:eastAsia="仿宋" w:cs="仿宋"/>
          <w:sz w:val="32"/>
          <w:szCs w:val="32"/>
          <w:highlight w:val="none"/>
          <w:lang w:eastAsia="zh-CN"/>
        </w:rPr>
        <w:t>%；项目支出</w:t>
      </w:r>
      <w:r>
        <w:rPr>
          <w:rFonts w:hint="eastAsia" w:ascii="Times New Roman" w:hAnsi="Times New Roman" w:eastAsia="仿宋" w:cs="仿宋"/>
          <w:sz w:val="32"/>
          <w:szCs w:val="32"/>
          <w:highlight w:val="none"/>
          <w:lang w:val="en-US" w:eastAsia="zh-CN"/>
        </w:rPr>
        <w:t>133</w:t>
      </w:r>
      <w:r>
        <w:rPr>
          <w:rFonts w:hint="eastAsia" w:ascii="Times New Roman" w:hAnsi="Times New Roman" w:eastAsia="仿宋" w:cs="仿宋"/>
          <w:sz w:val="32"/>
          <w:szCs w:val="32"/>
          <w:highlight w:val="none"/>
          <w:lang w:eastAsia="zh-CN"/>
        </w:rPr>
        <w:t>万元，占</w:t>
      </w:r>
      <w:r>
        <w:rPr>
          <w:rFonts w:hint="eastAsia" w:ascii="Times New Roman" w:hAnsi="Times New Roman" w:eastAsia="仿宋" w:cs="仿宋"/>
          <w:sz w:val="32"/>
          <w:szCs w:val="32"/>
          <w:highlight w:val="none"/>
          <w:lang w:val="en-US" w:eastAsia="zh-CN"/>
        </w:rPr>
        <w:t>26.96</w:t>
      </w:r>
      <w:r>
        <w:rPr>
          <w:rFonts w:hint="eastAsia" w:ascii="Times New Roman" w:hAnsi="Times New Roman" w:eastAsia="仿宋" w:cs="仿宋"/>
          <w:sz w:val="32"/>
          <w:szCs w:val="32"/>
          <w:highlight w:val="none"/>
          <w:lang w:eastAsia="zh-CN"/>
        </w:rPr>
        <w:t>%。</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rPr>
      </w:pPr>
      <w:bookmarkStart w:id="8" w:name="_Toc3314"/>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bookmarkEnd w:id="8"/>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年财政拨款收支预算总数</w:t>
      </w:r>
      <w:r>
        <w:rPr>
          <w:rFonts w:hint="eastAsia" w:ascii="Times New Roman" w:hAnsi="Times New Roman" w:eastAsia="仿宋" w:cs="仿宋"/>
          <w:sz w:val="32"/>
          <w:szCs w:val="32"/>
          <w:highlight w:val="none"/>
          <w:lang w:val="en-US" w:eastAsia="zh-CN"/>
        </w:rPr>
        <w:t>1061.32</w:t>
      </w:r>
      <w:r>
        <w:rPr>
          <w:rFonts w:hint="eastAsia" w:ascii="Times New Roman" w:hAnsi="Times New Roman" w:eastAsia="仿宋" w:cs="仿宋"/>
          <w:sz w:val="32"/>
          <w:szCs w:val="32"/>
          <w:highlight w:val="none"/>
          <w:lang w:eastAsia="zh-CN"/>
        </w:rPr>
        <w:t>万元，比202</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lang w:eastAsia="zh-CN"/>
        </w:rPr>
        <w:t>年财政拨款收支预算总数增加</w:t>
      </w:r>
      <w:r>
        <w:rPr>
          <w:rFonts w:hint="eastAsia" w:ascii="Times New Roman" w:hAnsi="Times New Roman" w:eastAsia="仿宋" w:cs="仿宋"/>
          <w:sz w:val="32"/>
          <w:szCs w:val="32"/>
          <w:highlight w:val="none"/>
          <w:lang w:val="en-US" w:eastAsia="zh-CN"/>
        </w:rPr>
        <w:t>342.48</w:t>
      </w:r>
      <w:r>
        <w:rPr>
          <w:rFonts w:hint="eastAsia" w:ascii="Times New Roman" w:hAnsi="Times New Roman" w:eastAsia="仿宋" w:cs="仿宋"/>
          <w:sz w:val="32"/>
          <w:szCs w:val="32"/>
          <w:highlight w:val="none"/>
          <w:lang w:eastAsia="zh-CN"/>
        </w:rPr>
        <w:t>万元，</w:t>
      </w:r>
      <w:r>
        <w:rPr>
          <w:rFonts w:hint="eastAsia" w:ascii="Times New Roman" w:hAnsi="Times New Roman" w:eastAsia="仿宋" w:cs="仿宋"/>
          <w:sz w:val="32"/>
          <w:szCs w:val="32"/>
          <w:highlight w:val="none"/>
          <w:lang w:val="en-US" w:eastAsia="zh-CN"/>
        </w:rPr>
        <w:t>主要原因是在职人员增加及在职人员基础绩效奖、退休人员生活补贴纳入年初预算，以及住房公积金、养老保险等单位部分预算增加。</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收入包括：本年一般公共预算拨款收入</w:t>
      </w:r>
      <w:r>
        <w:rPr>
          <w:rFonts w:hint="eastAsia" w:ascii="Times New Roman" w:hAnsi="Times New Roman" w:eastAsia="仿宋" w:cs="仿宋"/>
          <w:sz w:val="32"/>
          <w:szCs w:val="32"/>
          <w:highlight w:val="none"/>
          <w:lang w:val="en-US" w:eastAsia="zh-CN"/>
        </w:rPr>
        <w:t>567.94</w:t>
      </w:r>
      <w:r>
        <w:rPr>
          <w:rFonts w:hint="eastAsia" w:ascii="Times New Roman" w:hAnsi="Times New Roman" w:eastAsia="仿宋" w:cs="仿宋"/>
          <w:sz w:val="32"/>
          <w:szCs w:val="32"/>
          <w:highlight w:val="none"/>
          <w:lang w:eastAsia="zh-CN"/>
        </w:rPr>
        <w:t>万元、本年政府性基金预算拨款收入</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万元；支出包括：一般公共服务支出</w:t>
      </w:r>
      <w:r>
        <w:rPr>
          <w:rFonts w:hint="eastAsia" w:ascii="Times New Roman" w:hAnsi="Times New Roman" w:eastAsia="仿宋" w:cs="仿宋"/>
          <w:sz w:val="32"/>
          <w:szCs w:val="32"/>
          <w:highlight w:val="none"/>
          <w:lang w:val="en-US" w:eastAsia="zh-CN"/>
        </w:rPr>
        <w:t>399.45</w:t>
      </w:r>
      <w:r>
        <w:rPr>
          <w:rFonts w:hint="eastAsia" w:ascii="Times New Roman" w:hAnsi="Times New Roman" w:eastAsia="仿宋" w:cs="仿宋"/>
          <w:sz w:val="32"/>
          <w:szCs w:val="32"/>
          <w:highlight w:val="none"/>
          <w:lang w:eastAsia="zh-CN"/>
        </w:rPr>
        <w:t>万元、社会保障和就业支出</w:t>
      </w:r>
      <w:r>
        <w:rPr>
          <w:rFonts w:hint="eastAsia" w:ascii="Times New Roman" w:hAnsi="Times New Roman" w:eastAsia="仿宋" w:cs="仿宋"/>
          <w:sz w:val="32"/>
          <w:szCs w:val="32"/>
          <w:highlight w:val="none"/>
          <w:lang w:val="en-US" w:eastAsia="zh-CN"/>
        </w:rPr>
        <w:t>51.32万元、 卫生健康支出16.29万元、 住房保障支出26.31万元。</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rPr>
      </w:pPr>
      <w:bookmarkStart w:id="9" w:name="_Toc14880"/>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bookmarkEnd w:id="9"/>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rPr>
      </w:pPr>
      <w:bookmarkStart w:id="10" w:name="_Toc24923"/>
      <w:r>
        <w:rPr>
          <w:rFonts w:hint="eastAsia" w:ascii="Times New Roman" w:hAnsi="Times New Roman" w:eastAsia="楷体_GB2312" w:cs="Times New Roman"/>
          <w:b/>
          <w:sz w:val="32"/>
          <w:szCs w:val="32"/>
          <w:highlight w:val="none"/>
        </w:rPr>
        <w:t>（一）一般公共预算当年拨款规模变化情况</w:t>
      </w:r>
      <w:bookmarkEnd w:id="10"/>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年一般公共预算当年拨款</w:t>
      </w:r>
      <w:r>
        <w:rPr>
          <w:rFonts w:hint="eastAsia" w:ascii="Times New Roman" w:hAnsi="Times New Roman" w:eastAsia="仿宋" w:cs="仿宋"/>
          <w:sz w:val="32"/>
          <w:szCs w:val="32"/>
          <w:highlight w:val="none"/>
          <w:lang w:val="en-US" w:eastAsia="zh-CN"/>
        </w:rPr>
        <w:t>493.38</w:t>
      </w:r>
      <w:r>
        <w:rPr>
          <w:rFonts w:hint="eastAsia" w:ascii="Times New Roman" w:hAnsi="Times New Roman" w:eastAsia="仿宋" w:cs="仿宋"/>
          <w:sz w:val="32"/>
          <w:szCs w:val="32"/>
          <w:highlight w:val="none"/>
          <w:lang w:eastAsia="zh-CN"/>
        </w:rPr>
        <w:t>万元，</w:t>
      </w:r>
      <w:r>
        <w:rPr>
          <w:rFonts w:hint="eastAsia" w:ascii="Times New Roman" w:hAnsi="Times New Roman" w:eastAsia="仿宋" w:cs="仿宋"/>
          <w:sz w:val="32"/>
          <w:szCs w:val="32"/>
          <w:highlight w:val="none"/>
          <w:lang w:val="en-US" w:eastAsia="zh-CN"/>
        </w:rPr>
        <w:t>较2022年预算数增加162.55万元，增加49.13%。主要原因是在职人员增加及在职人员基础绩效奖、退休人员生活补贴纳入年初预算，以及住房公积金、养老保险等单位部分预算增加。</w:t>
      </w:r>
    </w:p>
    <w:p>
      <w:pPr>
        <w:suppressAutoHyphens/>
        <w:bidi w:val="0"/>
        <w:spacing w:line="580" w:lineRule="exact"/>
        <w:ind w:firstLine="640" w:firstLineChars="200"/>
        <w:rPr>
          <w:rFonts w:hint="eastAsia"/>
          <w:lang w:eastAsia="zh-CN"/>
        </w:rPr>
      </w:pPr>
      <w:r>
        <w:rPr>
          <w:rFonts w:hint="eastAsia" w:ascii="Times New Roman" w:hAnsi="Times New Roman" w:eastAsia="仿宋" w:cs="仿宋"/>
          <w:sz w:val="32"/>
          <w:szCs w:val="32"/>
          <w:highlight w:val="none"/>
          <w:lang w:val="en-US" w:eastAsia="zh-CN"/>
        </w:rPr>
        <w:t>另上年结转安排0万元。</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rPr>
      </w:pPr>
      <w:bookmarkStart w:id="11" w:name="_Toc15173"/>
      <w:r>
        <w:rPr>
          <w:rFonts w:hint="eastAsia" w:ascii="Times New Roman" w:hAnsi="Times New Roman" w:eastAsia="楷体_GB2312" w:cs="Times New Roman"/>
          <w:b/>
          <w:sz w:val="32"/>
          <w:szCs w:val="32"/>
          <w:highlight w:val="none"/>
        </w:rPr>
        <w:t>（二）一般公共预算当年拨款结构情况</w:t>
      </w:r>
      <w:bookmarkEnd w:id="11"/>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一般公共服务支出399.45万元，占80.96%；社会保障和就业支出51.32万元，占10.4%；卫生健康支出16.29万元，占3.3%；住房保障支出26.31万元，占5.34%。</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rPr>
      </w:pPr>
      <w:bookmarkStart w:id="12" w:name="_Toc27360"/>
      <w:r>
        <w:rPr>
          <w:rFonts w:hint="eastAsia" w:ascii="Times New Roman" w:hAnsi="Times New Roman" w:eastAsia="楷体_GB2312" w:cs="Times New Roman"/>
          <w:b/>
          <w:sz w:val="32"/>
          <w:szCs w:val="32"/>
          <w:highlight w:val="none"/>
        </w:rPr>
        <w:t>（三）一般公共预算当年拨款具体使用情况</w:t>
      </w:r>
      <w:bookmarkEnd w:id="12"/>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1.一般公共服务（类）政协事务（款）行政运行（项）:2023年预算数为372.79万元，主要用于：基本工资、津贴补贴、奖金、社会保险缴费、政协委员、委员视察、参政议政等。</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2.一般公共服务（类）政协事务（款）政协会议（项）：2023年预算数为20万元，主要用于：召开县政协十一届三次会议及常委会议、主席会议等会议。</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3.一般公共服务（类）政协事务（款） 其他政协事务支出（项）：2023年预算数为6.66万元，主要用于：驻村工作组工作经费以及老干部工作经费。</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4.一般公共服务（类）社会保障和就业支出(款)行政单位离退休（项）:2023年预算数为51.32万元，主要用于：为机关干部职工缴纳的基本养老保险支出。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5.一般公共服务（类）医疗卫生与计划生育支出(款)行政单位医疗（项）：2023年预算数为9.47万元，主要用于：政协办为机关公务员及工勤人员职工缴纳的基本医疗保险支出。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6.一般公共服务(类)医疗卫生与计划生育支出(款)公务员医疗补助（项）：2023年预算数为6.82万元，主要用于政协办为机关公务员及工勤人员缴纳的医疗补助。</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7.一般公共服务（类） 政协事务（款）住房公积金（项）：2023年预算数为26.31万元，主要用于：政协办为机关公务员及工勤人员缴纳的住房公积金。</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lang w:eastAsia="zh-CN"/>
        </w:rPr>
      </w:pPr>
      <w:bookmarkStart w:id="13" w:name="_Toc24440"/>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bookmarkEnd w:id="13"/>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年一般公共预算基本支出</w:t>
      </w:r>
      <w:r>
        <w:rPr>
          <w:rFonts w:hint="eastAsia" w:ascii="Times New Roman" w:hAnsi="Times New Roman" w:eastAsia="仿宋" w:cs="仿宋"/>
          <w:sz w:val="32"/>
          <w:szCs w:val="32"/>
          <w:highlight w:val="none"/>
          <w:lang w:val="en-US" w:eastAsia="zh-CN"/>
        </w:rPr>
        <w:t>360.38</w:t>
      </w:r>
      <w:r>
        <w:rPr>
          <w:rFonts w:hint="eastAsia" w:ascii="Times New Roman" w:hAnsi="Times New Roman" w:eastAsia="仿宋" w:cs="仿宋"/>
          <w:sz w:val="32"/>
          <w:szCs w:val="32"/>
          <w:highlight w:val="none"/>
          <w:lang w:eastAsia="zh-CN"/>
        </w:rPr>
        <w:t>万元，其中：</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人员经费</w:t>
      </w:r>
      <w:r>
        <w:rPr>
          <w:rFonts w:hint="eastAsia" w:ascii="Times New Roman" w:hAnsi="Times New Roman" w:eastAsia="仿宋" w:cs="仿宋"/>
          <w:sz w:val="32"/>
          <w:szCs w:val="32"/>
          <w:highlight w:val="none"/>
          <w:lang w:val="en-US" w:eastAsia="zh-CN"/>
        </w:rPr>
        <w:t>313.66</w:t>
      </w:r>
      <w:r>
        <w:rPr>
          <w:rFonts w:hint="eastAsia" w:ascii="Times New Roman" w:hAnsi="Times New Roman" w:eastAsia="仿宋" w:cs="仿宋"/>
          <w:sz w:val="32"/>
          <w:szCs w:val="32"/>
          <w:highlight w:val="none"/>
          <w:lang w:eastAsia="zh-CN"/>
        </w:rPr>
        <w:t>万元，主要包括：基本工资、津贴补贴、奖金、职工基本医疗保险缴费、公务员医疗补助缴费、  职工基本医疗保险缴费、住房公积金、生活补助、</w:t>
      </w:r>
      <w:r>
        <w:rPr>
          <w:rFonts w:hint="eastAsia" w:ascii="Times New Roman" w:hAnsi="Times New Roman" w:eastAsia="仿宋" w:cs="仿宋"/>
          <w:sz w:val="32"/>
          <w:szCs w:val="32"/>
          <w:highlight w:val="none"/>
          <w:lang w:val="en-US" w:eastAsia="zh-CN"/>
        </w:rPr>
        <w:t>奖励金</w:t>
      </w:r>
      <w:r>
        <w:rPr>
          <w:rFonts w:hint="eastAsia" w:ascii="Times New Roman" w:hAnsi="Times New Roman" w:eastAsia="仿宋" w:cs="仿宋"/>
          <w:sz w:val="32"/>
          <w:szCs w:val="32"/>
          <w:highlight w:val="none"/>
          <w:lang w:eastAsia="zh-CN"/>
        </w:rPr>
        <w:t>。</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公用经费</w:t>
      </w:r>
      <w:r>
        <w:rPr>
          <w:rFonts w:hint="eastAsia" w:ascii="Times New Roman" w:hAnsi="Times New Roman" w:eastAsia="仿宋" w:cs="仿宋"/>
          <w:sz w:val="32"/>
          <w:szCs w:val="32"/>
          <w:highlight w:val="none"/>
          <w:lang w:val="en-US" w:eastAsia="zh-CN"/>
        </w:rPr>
        <w:t>46.72</w:t>
      </w:r>
      <w:r>
        <w:rPr>
          <w:rFonts w:hint="eastAsia" w:ascii="Times New Roman" w:hAnsi="Times New Roman" w:eastAsia="仿宋" w:cs="仿宋"/>
          <w:sz w:val="32"/>
          <w:szCs w:val="32"/>
          <w:highlight w:val="none"/>
          <w:lang w:eastAsia="zh-CN"/>
        </w:rPr>
        <w:t>万元，主要包括：办公费、印刷费、</w:t>
      </w:r>
      <w:r>
        <w:rPr>
          <w:rFonts w:hint="eastAsia" w:ascii="Times New Roman" w:hAnsi="Times New Roman" w:eastAsia="仿宋" w:cs="仿宋"/>
          <w:sz w:val="32"/>
          <w:szCs w:val="32"/>
          <w:highlight w:val="none"/>
          <w:lang w:val="en-US" w:eastAsia="zh-CN"/>
        </w:rPr>
        <w:t>水费、电费、邮电费、差旅费、工会经费、其他交通费用</w:t>
      </w:r>
      <w:r>
        <w:rPr>
          <w:rFonts w:hint="eastAsia" w:ascii="Times New Roman" w:hAnsi="Times New Roman" w:eastAsia="仿宋" w:cs="仿宋"/>
          <w:sz w:val="32"/>
          <w:szCs w:val="32"/>
          <w:highlight w:val="none"/>
          <w:lang w:eastAsia="zh-CN"/>
        </w:rPr>
        <w:t>。</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rPr>
      </w:pPr>
      <w:bookmarkStart w:id="14" w:name="_Toc1320"/>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bookmarkEnd w:id="14"/>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年“三公”经费财政拨款预算数</w:t>
      </w:r>
      <w:r>
        <w:rPr>
          <w:rFonts w:hint="eastAsia" w:ascii="Times New Roman" w:hAnsi="Times New Roman" w:eastAsia="仿宋" w:cs="仿宋"/>
          <w:sz w:val="32"/>
          <w:szCs w:val="32"/>
          <w:highlight w:val="none"/>
          <w:lang w:val="en-US" w:eastAsia="zh-CN"/>
        </w:rPr>
        <w:t>10</w:t>
      </w:r>
      <w:r>
        <w:rPr>
          <w:rFonts w:hint="eastAsia" w:ascii="Times New Roman" w:hAnsi="Times New Roman" w:eastAsia="仿宋" w:cs="仿宋"/>
          <w:sz w:val="32"/>
          <w:szCs w:val="32"/>
          <w:highlight w:val="none"/>
          <w:lang w:eastAsia="zh-CN"/>
        </w:rPr>
        <w:t>万元，其中：公务接待费</w:t>
      </w:r>
      <w:r>
        <w:rPr>
          <w:rFonts w:hint="eastAsia" w:ascii="Times New Roman" w:hAnsi="Times New Roman" w:eastAsia="仿宋" w:cs="仿宋"/>
          <w:sz w:val="32"/>
          <w:szCs w:val="32"/>
          <w:highlight w:val="none"/>
          <w:lang w:val="en-US" w:eastAsia="zh-CN"/>
        </w:rPr>
        <w:t>10</w:t>
      </w:r>
      <w:r>
        <w:rPr>
          <w:rFonts w:hint="eastAsia" w:ascii="Times New Roman" w:hAnsi="Times New Roman" w:eastAsia="仿宋" w:cs="仿宋"/>
          <w:sz w:val="32"/>
          <w:szCs w:val="32"/>
          <w:highlight w:val="none"/>
          <w:lang w:eastAsia="zh-CN"/>
        </w:rPr>
        <w:t>万元，公务用车购置及运行维护费</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万元，因公出国（境）经费</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w:t>
      </w:r>
    </w:p>
    <w:p>
      <w:pPr>
        <w:keepNext w:val="0"/>
        <w:keepLines w:val="0"/>
        <w:pageBreakBefore w:val="0"/>
        <w:suppressAutoHyphens/>
        <w:kinsoku/>
        <w:wordWrap/>
        <w:topLinePunct w:val="0"/>
        <w:autoSpaceDE/>
        <w:autoSpaceDN/>
        <w:bidi w:val="0"/>
        <w:spacing w:line="590" w:lineRule="exact"/>
        <w:ind w:firstLine="643"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）因公出国（境）经费与</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2</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预算持平。</w:t>
      </w:r>
      <w:r>
        <w:rPr>
          <w:rFonts w:hint="eastAsia" w:ascii="Times New Roman" w:hAnsi="Times New Roman" w:eastAsia="仿宋" w:cs="仿宋"/>
          <w:sz w:val="32"/>
          <w:szCs w:val="32"/>
          <w:highlight w:val="none"/>
          <w:lang w:eastAsia="zh-CN"/>
        </w:rPr>
        <w:t>主要原因是</w:t>
      </w:r>
      <w:r>
        <w:rPr>
          <w:rFonts w:hint="eastAsia" w:ascii="Times New Roman" w:hAnsi="Times New Roman" w:eastAsia="仿宋" w:cs="仿宋"/>
          <w:sz w:val="32"/>
          <w:szCs w:val="32"/>
          <w:highlight w:val="none"/>
          <w:lang w:val="en-US" w:eastAsia="zh-CN"/>
        </w:rPr>
        <w:t>无因公出国（境）。</w:t>
      </w:r>
    </w:p>
    <w:p>
      <w:pPr>
        <w:keepNext w:val="0"/>
        <w:keepLines w:val="0"/>
        <w:pageBreakBefore w:val="0"/>
        <w:suppressAutoHyphens/>
        <w:kinsoku/>
        <w:wordWrap/>
        <w:topLinePunct w:val="0"/>
        <w:autoSpaceDE/>
        <w:autoSpaceDN/>
        <w:bidi w:val="0"/>
        <w:spacing w:line="590" w:lineRule="exact"/>
        <w:ind w:firstLine="64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）公务接待费与</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2</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预算持平。</w:t>
      </w:r>
      <w:r>
        <w:rPr>
          <w:rFonts w:hint="eastAsia" w:ascii="Times New Roman" w:hAnsi="Times New Roman" w:eastAsia="仿宋" w:cs="仿宋"/>
          <w:sz w:val="32"/>
          <w:szCs w:val="32"/>
          <w:highlight w:val="none"/>
          <w:lang w:eastAsia="zh-CN"/>
        </w:rPr>
        <w:t>主要原因是</w:t>
      </w:r>
      <w:r>
        <w:rPr>
          <w:rFonts w:hint="eastAsia" w:ascii="Times New Roman" w:hAnsi="Times New Roman" w:eastAsia="仿宋" w:cs="仿宋"/>
          <w:sz w:val="32"/>
          <w:szCs w:val="32"/>
          <w:highlight w:val="none"/>
          <w:lang w:val="en-US" w:eastAsia="zh-CN"/>
        </w:rPr>
        <w:t>根据同期接待人次情况，坚持勤俭节约原则。</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年公务接待费计划</w:t>
      </w:r>
      <w:r>
        <w:rPr>
          <w:rFonts w:hint="eastAsia" w:ascii="Times New Roman" w:hAnsi="Times New Roman" w:eastAsia="仿宋" w:cs="仿宋"/>
          <w:sz w:val="32"/>
          <w:szCs w:val="32"/>
          <w:highlight w:val="none"/>
          <w:lang w:val="en-US" w:eastAsia="zh-CN"/>
        </w:rPr>
        <w:t>用于各省、市、县政协来县考察调研、学习交流、检查指导等公务活动开支的餐费等。</w:t>
      </w:r>
    </w:p>
    <w:p>
      <w:pPr>
        <w:keepNext w:val="0"/>
        <w:keepLines w:val="0"/>
        <w:pageBreakBefore w:val="0"/>
        <w:numPr>
          <w:ilvl w:val="0"/>
          <w:numId w:val="0"/>
        </w:numPr>
        <w:suppressAutoHyphens/>
        <w:kinsoku/>
        <w:wordWrap/>
        <w:topLinePunct w:val="0"/>
        <w:autoSpaceDE/>
        <w:autoSpaceDN/>
        <w:bidi w:val="0"/>
        <w:spacing w:line="590" w:lineRule="exact"/>
        <w:ind w:firstLine="643"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）公务用车购置及运行维护费与</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2</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预算持平。</w:t>
      </w:r>
      <w:r>
        <w:rPr>
          <w:rFonts w:hint="eastAsia" w:ascii="Times New Roman" w:hAnsi="Times New Roman" w:eastAsia="仿宋" w:cs="仿宋"/>
          <w:sz w:val="32"/>
          <w:szCs w:val="32"/>
          <w:highlight w:val="none"/>
          <w:lang w:val="en-US" w:eastAsia="zh-CN"/>
        </w:rPr>
        <w:t>主要原因是本单位无公务用车。</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单位现有公务用车0辆。</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2023年安排公务用车购置费0万元，拟购置公务用车0辆。</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2023年安排公务用车运行维护费0万元。</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rPr>
      </w:pPr>
      <w:bookmarkStart w:id="15" w:name="_Toc8348"/>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bookmarkEnd w:id="15"/>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年没有使用政府性基金预算拨款安排的支出。</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lang w:eastAsia="zh-CN"/>
        </w:rPr>
      </w:pPr>
      <w:bookmarkStart w:id="16" w:name="_Toc9186"/>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bookmarkEnd w:id="16"/>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县政协办202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年没有使用国有资本经营预算拨款安排的支出。</w:t>
      </w:r>
    </w:p>
    <w:p>
      <w:pPr>
        <w:keepNext w:val="0"/>
        <w:keepLines w:val="0"/>
        <w:pageBreakBefore w:val="0"/>
        <w:suppressAutoHyphens/>
        <w:kinsoku/>
        <w:wordWrap/>
        <w:topLinePunct w:val="0"/>
        <w:autoSpaceDE/>
        <w:autoSpaceDN/>
        <w:bidi w:val="0"/>
        <w:spacing w:line="590" w:lineRule="exact"/>
        <w:ind w:firstLine="640" w:firstLineChars="200"/>
        <w:textAlignment w:val="auto"/>
        <w:outlineLvl w:val="0"/>
        <w:rPr>
          <w:rFonts w:hint="eastAsia" w:ascii="Times New Roman" w:hAnsi="Times New Roman" w:eastAsia="黑体" w:cs="Times New Roman"/>
          <w:sz w:val="32"/>
          <w:szCs w:val="32"/>
          <w:highlight w:val="none"/>
        </w:rPr>
      </w:pPr>
      <w:bookmarkStart w:id="17" w:name="_Toc26527"/>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bookmarkEnd w:id="17"/>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lang w:eastAsia="zh-CN"/>
        </w:rPr>
      </w:pPr>
      <w:bookmarkStart w:id="18" w:name="_Toc2158"/>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bookmarkEnd w:id="18"/>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eastAsia="zh-CN"/>
        </w:rPr>
        <w:t>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w:t>
      </w:r>
      <w:r>
        <w:rPr>
          <w:rFonts w:hint="eastAsia" w:ascii="Times New Roman" w:hAnsi="Times New Roman" w:eastAsia="仿宋" w:cs="仿宋"/>
          <w:sz w:val="32"/>
          <w:szCs w:val="32"/>
          <w:highlight w:val="none"/>
          <w:lang w:val="en-US" w:eastAsia="zh-CN"/>
        </w:rPr>
        <w:t>政协办机关运行经费财政拨款预算为46.72万元，较2021年预算增加18.95万元，增加40.56%。主要原因是人员增加，以及办公区域水、电费增加。</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rPr>
      </w:pPr>
      <w:bookmarkStart w:id="19" w:name="_Toc9178"/>
      <w:r>
        <w:rPr>
          <w:rFonts w:hint="eastAsia" w:ascii="Times New Roman" w:hAnsi="Times New Roman" w:eastAsia="楷体_GB2312" w:cs="Times New Roman"/>
          <w:b/>
          <w:sz w:val="32"/>
          <w:szCs w:val="32"/>
          <w:highlight w:val="none"/>
        </w:rPr>
        <w:t>（二）政府采购情况</w:t>
      </w:r>
      <w:bookmarkEnd w:id="19"/>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202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lang w:eastAsia="zh-CN"/>
        </w:rPr>
        <w:t>年，县政协办安排政府采购预算</w:t>
      </w:r>
      <w:r>
        <w:rPr>
          <w:rFonts w:hint="eastAsia" w:ascii="Times New Roman" w:hAnsi="Times New Roman" w:eastAsia="仿宋" w:cs="仿宋"/>
          <w:sz w:val="32"/>
          <w:szCs w:val="32"/>
          <w:highlight w:val="none"/>
          <w:lang w:val="en-US" w:eastAsia="zh-CN"/>
        </w:rPr>
        <w:t>10</w:t>
      </w:r>
      <w:r>
        <w:rPr>
          <w:rFonts w:hint="eastAsia" w:ascii="Times New Roman" w:hAnsi="Times New Roman" w:eastAsia="仿宋" w:cs="仿宋"/>
          <w:sz w:val="32"/>
          <w:szCs w:val="32"/>
          <w:highlight w:val="none"/>
          <w:lang w:eastAsia="zh-CN"/>
        </w:rPr>
        <w:t>万元，主要用于采购办公设备。</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rPr>
      </w:pPr>
      <w:bookmarkStart w:id="20" w:name="_Toc21053"/>
      <w:r>
        <w:rPr>
          <w:rFonts w:hint="eastAsia" w:ascii="Times New Roman" w:hAnsi="Times New Roman" w:eastAsia="楷体_GB2312" w:cs="Times New Roman"/>
          <w:b/>
          <w:sz w:val="32"/>
          <w:szCs w:val="32"/>
          <w:highlight w:val="none"/>
        </w:rPr>
        <w:t>（三）国有资产占有使用情况</w:t>
      </w:r>
      <w:bookmarkEnd w:id="20"/>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eastAsia="zh-CN"/>
        </w:rPr>
        <w:t>截至202</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lang w:eastAsia="zh-CN"/>
        </w:rPr>
        <w:t>年底，</w:t>
      </w:r>
      <w:r>
        <w:rPr>
          <w:rFonts w:hint="eastAsia" w:ascii="Times New Roman" w:hAnsi="Times New Roman" w:eastAsia="仿宋" w:cs="仿宋"/>
          <w:sz w:val="32"/>
          <w:szCs w:val="32"/>
          <w:highlight w:val="none"/>
          <w:lang w:val="en-US" w:eastAsia="zh-CN"/>
        </w:rPr>
        <w:t>政协办所属各预算单位共有车辆0辆。单位价值200万元以上大型设备0台（套）。</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2023年部门预算未安排购置车辆及单位价值200万元以上大型设备。</w:t>
      </w:r>
    </w:p>
    <w:p>
      <w:pPr>
        <w:keepNext w:val="0"/>
        <w:keepLines w:val="0"/>
        <w:pageBreakBefore w:val="0"/>
        <w:suppressAutoHyphens/>
        <w:kinsoku/>
        <w:wordWrap/>
        <w:topLinePunct w:val="0"/>
        <w:autoSpaceDE/>
        <w:autoSpaceDN/>
        <w:bidi w:val="0"/>
        <w:spacing w:line="590" w:lineRule="exact"/>
        <w:ind w:firstLine="643" w:firstLineChars="200"/>
        <w:textAlignment w:val="auto"/>
        <w:outlineLvl w:val="1"/>
        <w:rPr>
          <w:rFonts w:hint="eastAsia" w:ascii="Times New Roman" w:hAnsi="Times New Roman" w:eastAsia="楷体_GB2312" w:cs="Times New Roman"/>
          <w:b/>
          <w:sz w:val="32"/>
          <w:szCs w:val="32"/>
          <w:highlight w:val="none"/>
          <w:lang w:eastAsia="zh-CN"/>
        </w:rPr>
      </w:pPr>
      <w:bookmarkStart w:id="21" w:name="_Toc5778"/>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bookmarkEnd w:id="21"/>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2023年</w:t>
      </w:r>
      <w:r>
        <w:rPr>
          <w:rFonts w:hint="eastAsia" w:ascii="Times New Roman" w:hAnsi="Times New Roman" w:eastAsia="仿宋" w:cs="仿宋"/>
          <w:sz w:val="32"/>
          <w:szCs w:val="32"/>
          <w:highlight w:val="none"/>
          <w:lang w:eastAsia="zh-CN"/>
        </w:rPr>
        <w:t>县政协办</w:t>
      </w:r>
      <w:r>
        <w:rPr>
          <w:rFonts w:hint="eastAsia" w:ascii="Times New Roman" w:hAnsi="Times New Roman" w:eastAsia="仿宋" w:cs="仿宋"/>
          <w:sz w:val="32"/>
          <w:szCs w:val="32"/>
          <w:highlight w:val="none"/>
          <w:lang w:val="en-US" w:eastAsia="zh-CN"/>
        </w:rPr>
        <w:t>开展绩效目标管理的项目8</w:t>
      </w:r>
      <w:r>
        <w:rPr>
          <w:rFonts w:hint="eastAsia" w:ascii="Times New Roman" w:hAnsi="Times New Roman" w:eastAsia="仿宋" w:cs="仿宋"/>
          <w:sz w:val="32"/>
          <w:szCs w:val="32"/>
          <w:highlight w:val="none"/>
          <w:lang w:eastAsia="zh-CN"/>
        </w:rPr>
        <w:t>个，涉及预算</w:t>
      </w:r>
      <w:r>
        <w:rPr>
          <w:rFonts w:hint="eastAsia" w:ascii="Times New Roman" w:hAnsi="Times New Roman" w:eastAsia="仿宋" w:cs="仿宋"/>
          <w:sz w:val="32"/>
          <w:szCs w:val="32"/>
          <w:highlight w:val="none"/>
          <w:lang w:val="en-US" w:eastAsia="zh-CN"/>
        </w:rPr>
        <w:t>133</w:t>
      </w:r>
      <w:r>
        <w:rPr>
          <w:rFonts w:hint="eastAsia" w:ascii="Times New Roman" w:hAnsi="Times New Roman" w:eastAsia="仿宋" w:cs="仿宋"/>
          <w:sz w:val="32"/>
          <w:szCs w:val="32"/>
          <w:highlight w:val="none"/>
          <w:lang w:eastAsia="zh-CN"/>
        </w:rPr>
        <w:t>万元。其中：人员类项目</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个，涉及预算</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万元；运转类项目</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个，涉及预算</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万元；特定目标类项目</w:t>
      </w:r>
      <w:r>
        <w:rPr>
          <w:rFonts w:hint="eastAsia" w:ascii="Times New Roman" w:hAnsi="Times New Roman" w:eastAsia="仿宋" w:cs="仿宋"/>
          <w:sz w:val="32"/>
          <w:szCs w:val="32"/>
          <w:highlight w:val="none"/>
          <w:lang w:val="en-US" w:eastAsia="zh-CN"/>
        </w:rPr>
        <w:t>8</w:t>
      </w:r>
      <w:r>
        <w:rPr>
          <w:rFonts w:hint="eastAsia" w:ascii="Times New Roman" w:hAnsi="Times New Roman" w:eastAsia="仿宋" w:cs="仿宋"/>
          <w:sz w:val="32"/>
          <w:szCs w:val="32"/>
          <w:highlight w:val="none"/>
          <w:lang w:eastAsia="zh-CN"/>
        </w:rPr>
        <w:t>个，涉及预算</w:t>
      </w:r>
      <w:r>
        <w:rPr>
          <w:rFonts w:hint="eastAsia" w:ascii="Times New Roman" w:hAnsi="Times New Roman" w:eastAsia="仿宋" w:cs="仿宋"/>
          <w:sz w:val="32"/>
          <w:szCs w:val="32"/>
          <w:highlight w:val="none"/>
          <w:lang w:val="en-US" w:eastAsia="zh-CN"/>
        </w:rPr>
        <w:t>133</w:t>
      </w:r>
      <w:r>
        <w:rPr>
          <w:rFonts w:hint="eastAsia" w:ascii="Times New Roman" w:hAnsi="Times New Roman" w:eastAsia="仿宋" w:cs="仿宋"/>
          <w:sz w:val="32"/>
          <w:szCs w:val="32"/>
          <w:highlight w:val="none"/>
          <w:lang w:eastAsia="zh-CN"/>
        </w:rPr>
        <w:t>万元。</w:t>
      </w:r>
    </w:p>
    <w:p>
      <w:pPr>
        <w:keepNext w:val="0"/>
        <w:keepLines w:val="0"/>
        <w:pageBreakBefore w:val="0"/>
        <w:kinsoku/>
        <w:wordWrap/>
        <w:topLinePunct w:val="0"/>
        <w:autoSpaceDE/>
        <w:autoSpaceDN/>
        <w:bidi w:val="0"/>
        <w:spacing w:line="590" w:lineRule="exact"/>
        <w:ind w:firstLine="640" w:firstLineChars="200"/>
        <w:textAlignment w:val="auto"/>
        <w:outlineLvl w:val="0"/>
        <w:rPr>
          <w:rFonts w:ascii="Times New Roman" w:hAnsi="Times New Roman" w:eastAsia="楷体"/>
          <w:b/>
          <w:color w:val="FF0000"/>
          <w:sz w:val="32"/>
          <w:szCs w:val="32"/>
          <w:highlight w:val="none"/>
        </w:rPr>
      </w:pPr>
      <w:bookmarkStart w:id="22" w:name="_Toc9927"/>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bookmarkEnd w:id="22"/>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1.一般公共预算拨款收入：指</w:t>
      </w:r>
      <w:r>
        <w:rPr>
          <w:rFonts w:hint="eastAsia" w:ascii="Times New Roman" w:hAnsi="Times New Roman" w:eastAsia="仿宋" w:cs="仿宋"/>
          <w:sz w:val="32"/>
          <w:szCs w:val="32"/>
          <w:highlight w:val="none"/>
          <w:lang w:val="en-US" w:eastAsia="zh-CN"/>
        </w:rPr>
        <w:t>县</w:t>
      </w:r>
      <w:r>
        <w:rPr>
          <w:rFonts w:hint="eastAsia" w:ascii="Times New Roman" w:hAnsi="Times New Roman" w:eastAsia="仿宋" w:cs="仿宋"/>
          <w:sz w:val="32"/>
          <w:szCs w:val="32"/>
          <w:highlight w:val="none"/>
          <w:lang w:eastAsia="zh-CN"/>
        </w:rPr>
        <w:t>级财政当年拨付的资金。</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eastAsia="zh-CN"/>
        </w:rPr>
        <w:t>2.上年结转：指以前年度尚未完成，结转到本年仍按原规定用途继续使用的资金。</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3.一般公共服务(类)政协事务(款)行政运行(项):指政协办用于保障机构正常运行、开展日常工作的基本支出。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4.一般公共服务(类)政协事务(款)一般行政管理事务(项):指政协办派出驻村工作组工作经费。</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5.社会保障和就业(类)机关事业单位基本养老保险缴费:指单位为职工缴纳的养老保险费。</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6.医疗卫生与计划生育支出(类):单位为职工缴纳的医疗保险费。</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7</w:t>
      </w:r>
      <w:r>
        <w:rPr>
          <w:rFonts w:hint="eastAsia" w:ascii="Times New Roman" w:hAnsi="Times New Roman" w:eastAsia="仿宋" w:cs="仿宋"/>
          <w:sz w:val="32"/>
          <w:szCs w:val="32"/>
          <w:highlight w:val="none"/>
          <w:lang w:eastAsia="zh-CN"/>
        </w:rPr>
        <w:t>.基本支出：指为保证机构正常运转，完成日常工作任务而发生的人员支出和公用支出。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8</w:t>
      </w:r>
      <w:r>
        <w:rPr>
          <w:rFonts w:hint="eastAsia" w:ascii="Times New Roman" w:hAnsi="Times New Roman" w:eastAsia="仿宋" w:cs="仿宋"/>
          <w:sz w:val="32"/>
          <w:szCs w:val="32"/>
          <w:highlight w:val="none"/>
          <w:lang w:eastAsia="zh-CN"/>
        </w:rPr>
        <w:t>.项目支出：指在基本支出之外为完成特定行政任务和事业发展目标所发生的支出。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9</w:t>
      </w:r>
      <w:r>
        <w:rPr>
          <w:rFonts w:hint="eastAsia" w:ascii="Times New Roman" w:hAnsi="Times New Roman" w:eastAsia="仿宋" w:cs="仿宋"/>
          <w:sz w:val="32"/>
          <w:szCs w:val="32"/>
          <w:highlight w:val="none"/>
          <w:lang w:eastAsia="zh-CN"/>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numPr>
          <w:ilvl w:val="0"/>
          <w:numId w:val="0"/>
        </w:numPr>
        <w:suppressAutoHyphens/>
        <w:kinsoku/>
        <w:wordWrap/>
        <w:topLinePunct w:val="0"/>
        <w:autoSpaceDE/>
        <w:autoSpaceDN/>
        <w:bidi w:val="0"/>
        <w:spacing w:line="590" w:lineRule="exact"/>
        <w:ind w:firstLine="640" w:firstLineChars="200"/>
        <w:textAlignment w:val="auto"/>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lang w:val="en-US" w:eastAsia="zh-CN"/>
        </w:rPr>
        <w:t>10</w:t>
      </w:r>
      <w:r>
        <w:rPr>
          <w:rFonts w:hint="eastAsia" w:ascii="Times New Roman" w:hAnsi="Times New Roman" w:eastAsia="仿宋" w:cs="仿宋"/>
          <w:sz w:val="32"/>
          <w:szCs w:val="32"/>
          <w:highlight w:val="none"/>
          <w:lang w:eastAsia="zh-CN"/>
        </w:rPr>
        <w:t>.机关运行经费：为保障行政单位（包含参照公务员法管理的事业单位）运行用于购买货物和服务的各项资金。包括办公及印刷费、邮电费、差旅费、会议费一般设备购置费等费用开支。</w:t>
      </w:r>
    </w:p>
    <w:p>
      <w:pPr>
        <w:keepNext w:val="0"/>
        <w:keepLines w:val="0"/>
        <w:pageBreakBefore w:val="0"/>
        <w:kinsoku/>
        <w:wordWrap/>
        <w:topLinePunct w:val="0"/>
        <w:autoSpaceDE/>
        <w:autoSpaceDN/>
        <w:bidi w:val="0"/>
        <w:spacing w:line="590" w:lineRule="exact"/>
        <w:ind w:firstLine="640" w:firstLineChars="200"/>
        <w:textAlignment w:val="auto"/>
        <w:outlineLvl w:val="0"/>
        <w:rPr>
          <w:rFonts w:hint="eastAsia" w:ascii="Times New Roman" w:hAnsi="Times New Roman" w:eastAsia="黑体"/>
          <w:sz w:val="32"/>
          <w:szCs w:val="32"/>
          <w:highlight w:val="none"/>
        </w:rPr>
      </w:pPr>
      <w:bookmarkStart w:id="23" w:name="_Toc15231"/>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附件</w:t>
      </w:r>
      <w:bookmarkEnd w:id="23"/>
    </w:p>
    <w:p>
      <w:pPr>
        <w:keepNext w:val="0"/>
        <w:keepLines w:val="0"/>
        <w:pageBreakBefore w:val="0"/>
        <w:kinsoku/>
        <w:wordWrap/>
        <w:topLinePunct w:val="0"/>
        <w:autoSpaceDE/>
        <w:autoSpaceDN/>
        <w:bidi w:val="0"/>
        <w:spacing w:line="59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表1 部门收支总表</w:t>
      </w:r>
      <w:r>
        <w:rPr>
          <w:rFonts w:hint="eastAsia" w:ascii="Times New Roman" w:hAnsi="Times New Roman" w:eastAsia="仿宋_GB2312"/>
          <w:sz w:val="32"/>
          <w:szCs w:val="32"/>
          <w:highlight w:val="none"/>
          <w:lang w:val="en-US" w:eastAsia="zh-CN"/>
        </w:rPr>
        <w:t xml:space="preserve"> </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pPr>
        <w:keepNext w:val="0"/>
        <w:keepLines w:val="0"/>
        <w:pageBreakBefore w:val="0"/>
        <w:kinsoku/>
        <w:wordWrap/>
        <w:topLinePunct w:val="0"/>
        <w:autoSpaceDE/>
        <w:autoSpaceDN/>
        <w:bidi w:val="0"/>
        <w:spacing w:line="59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pPr>
        <w:keepNext w:val="0"/>
        <w:keepLines w:val="0"/>
        <w:pageBreakBefore w:val="0"/>
        <w:kinsoku/>
        <w:wordWrap/>
        <w:topLinePunct w:val="0"/>
        <w:autoSpaceDE/>
        <w:autoSpaceDN/>
        <w:bidi w:val="0"/>
        <w:spacing w:line="59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pPr>
        <w:keepNext w:val="0"/>
        <w:keepLines w:val="0"/>
        <w:pageBreakBefore w:val="0"/>
        <w:kinsoku/>
        <w:wordWrap/>
        <w:topLinePunct w:val="0"/>
        <w:autoSpaceDE/>
        <w:autoSpaceDN/>
        <w:bidi w:val="0"/>
        <w:spacing w:line="59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p>
      <w:pPr>
        <w:keepNext w:val="0"/>
        <w:keepLines w:val="0"/>
        <w:pageBreakBefore w:val="0"/>
        <w:kinsoku/>
        <w:wordWrap/>
        <w:topLinePunct w:val="0"/>
        <w:autoSpaceDE/>
        <w:autoSpaceDN/>
        <w:bidi w:val="0"/>
        <w:spacing w:line="590" w:lineRule="exact"/>
        <w:ind w:firstLine="640" w:firstLineChars="200"/>
        <w:textAlignment w:val="auto"/>
        <w:rPr>
          <w:rFonts w:hint="eastAsia" w:ascii="Times New Roman" w:hAnsi="Times New Roma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方正小标宋_GBK"/>
          <w:sz w:val="32"/>
          <w:szCs w:val="32"/>
          <w:highlight w:val="none"/>
        </w:rPr>
        <w:t>——（以上为正文）</w:t>
      </w:r>
    </w:p>
    <w:p>
      <w:pPr>
        <w:keepNext w:val="0"/>
        <w:keepLines w:val="0"/>
        <w:pageBreakBefore w:val="0"/>
        <w:kinsoku/>
        <w:wordWrap/>
        <w:topLinePunct w:val="0"/>
        <w:autoSpaceDE/>
        <w:autoSpaceDN/>
        <w:bidi w:val="0"/>
        <w:spacing w:line="590" w:lineRule="exact"/>
        <w:textAlignment w:val="auto"/>
        <w:rPr>
          <w:rFonts w:hint="eastAsia" w:ascii="Times New Roman" w:hAnsi="Times New Roman" w:eastAsia="仿宋_GB2312"/>
          <w:sz w:val="32"/>
          <w:szCs w:val="32"/>
          <w:highlight w:val="none"/>
          <w:lang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OTRiYjMwZjBjNzM4MDJmZDFlMTg5ZDRjYzYzNTI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79B1326"/>
    <w:rsid w:val="16F93C20"/>
    <w:rsid w:val="1DE9F11D"/>
    <w:rsid w:val="1DFEF48B"/>
    <w:rsid w:val="1E9F4C3A"/>
    <w:rsid w:val="2A420242"/>
    <w:rsid w:val="2E2B78CF"/>
    <w:rsid w:val="3280404E"/>
    <w:rsid w:val="32E10332"/>
    <w:rsid w:val="3BF7822D"/>
    <w:rsid w:val="3F791594"/>
    <w:rsid w:val="3FEF825B"/>
    <w:rsid w:val="41A35612"/>
    <w:rsid w:val="42965AA1"/>
    <w:rsid w:val="45FD8A71"/>
    <w:rsid w:val="4F37A3C3"/>
    <w:rsid w:val="4F6B54A8"/>
    <w:rsid w:val="4F9111ED"/>
    <w:rsid w:val="57FFFCA8"/>
    <w:rsid w:val="59471D37"/>
    <w:rsid w:val="5CB7BA99"/>
    <w:rsid w:val="5F2F86E9"/>
    <w:rsid w:val="5FFC71C1"/>
    <w:rsid w:val="630C0E11"/>
    <w:rsid w:val="64D916AD"/>
    <w:rsid w:val="66E20F29"/>
    <w:rsid w:val="68422079"/>
    <w:rsid w:val="695000E5"/>
    <w:rsid w:val="6ACE3652"/>
    <w:rsid w:val="6DD7B53C"/>
    <w:rsid w:val="6EFAA790"/>
    <w:rsid w:val="7332784C"/>
    <w:rsid w:val="7375DF5E"/>
    <w:rsid w:val="7BFAD181"/>
    <w:rsid w:val="7D7E018B"/>
    <w:rsid w:val="7DDF1AF8"/>
    <w:rsid w:val="7DFB24B8"/>
    <w:rsid w:val="7E3E0B3C"/>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3DBE64C"/>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before="0" w:after="140" w:line="276" w:lineRule="auto"/>
    </w:p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Arial" w:hAnsi="Arial"/>
      <w:b/>
      <w:sz w:val="32"/>
    </w:rPr>
  </w:style>
  <w:style w:type="character" w:styleId="11">
    <w:name w:val="Strong"/>
    <w:basedOn w:val="10"/>
    <w:qFormat/>
    <w:uiPriority w:val="22"/>
    <w:rPr>
      <w:b/>
      <w:bCs/>
    </w:rPr>
  </w:style>
  <w:style w:type="character" w:customStyle="1" w:styleId="12">
    <w:name w:val="apple-converted-space"/>
    <w:basedOn w:val="10"/>
    <w:qFormat/>
    <w:uiPriority w:val="0"/>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4556</Words>
  <Characters>4888</Characters>
  <Lines>21</Lines>
  <Paragraphs>6</Paragraphs>
  <TotalTime>0</TotalTime>
  <ScaleCrop>false</ScaleCrop>
  <LinksUpToDate>false</LinksUpToDate>
  <CharactersWithSpaces>4977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2018-02-27T07:32:00Z</dcterms:created>
  <dc:creator>微软用户</dc:creator>
  <cp:lastModifiedBy>Administrator</cp:lastModifiedBy>
  <dcterms:modified xsi:type="dcterms:W3CDTF">2023-06-06T03:57:38Z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9FC2CBFE321A4704957C241009D40D72</vt:lpwstr>
  </property>
</Properties>
</file>