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96475"/>
      <w:bookmarkStart w:id="1" w:name="_Toc15377425"/>
      <w:bookmarkStart w:id="2" w:name="_Toc15377193"/>
      <w:bookmarkStart w:id="3" w:name="_Toc15378441"/>
      <w:bookmarkStart w:id="4" w:name="_Toc15396597"/>
      <w:bookmarkStart w:id="5" w:name="_Toc15306267"/>
    </w:p>
    <w:p>
      <w:pPr>
        <w:pStyle w:val="5"/>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jc w:val="both"/>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2023</w:t>
      </w:r>
      <w:r>
        <w:rPr>
          <w:rFonts w:ascii="方正小标宋简体" w:hAnsi="方正小标宋简体" w:eastAsia="方正小标宋简体" w:cs="方正小标宋简体"/>
          <w:color w:val="000000"/>
          <w:sz w:val="44"/>
          <w:u w:color="auto"/>
        </w:rPr>
        <w:t>年度</w:t>
      </w:r>
      <w:bookmarkEnd w:id="0"/>
      <w:bookmarkEnd w:id="1"/>
      <w:bookmarkEnd w:id="2"/>
      <w:bookmarkEnd w:id="3"/>
      <w:bookmarkEnd w:id="4"/>
    </w:p>
    <w:bookmarkEnd w:id="5"/>
    <w:p>
      <w:pPr>
        <w:jc w:val="center"/>
        <w:rPr>
          <w:rFonts w:hint="eastAsia" w:ascii="思源黑体 CN Normal" w:hAnsi="思源黑体 CN Normal" w:eastAsia="思源黑体 CN Normal" w:cs="思源黑体 CN Normal"/>
          <w:b w:val="0"/>
          <w:bCs/>
          <w:color w:val="000000" w:themeColor="text1"/>
          <w:sz w:val="44"/>
          <w:szCs w:val="44"/>
          <w14:textFill>
            <w14:solidFill>
              <w14:schemeClr w14:val="tx1"/>
            </w14:solidFill>
          </w14:textFill>
        </w:rPr>
      </w:pPr>
      <w:bookmarkStart w:id="6" w:name="_Toc15378442"/>
      <w:bookmarkStart w:id="7" w:name="_Toc15396598"/>
      <w:bookmarkStart w:id="8" w:name="_Toc15306268"/>
      <w:bookmarkStart w:id="9" w:name="_Toc15396476"/>
      <w:bookmarkStart w:id="10" w:name="_Toc15377426"/>
      <w:bookmarkStart w:id="11" w:name="_Toc15377194"/>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武胜县信访局</w:t>
      </w:r>
      <w:r>
        <w:rPr>
          <w:rFonts w:ascii="方正小标宋简体" w:hAnsi="方正小标宋简体" w:eastAsia="方正小标宋简体" w:cs="方正小标宋简体"/>
          <w:color w:val="000000"/>
          <w:sz w:val="44"/>
          <w:u w:color="auto"/>
        </w:rPr>
        <w:t>部门决算</w:t>
      </w:r>
      <w:bookmarkEnd w:id="6"/>
      <w:bookmarkEnd w:id="7"/>
      <w:bookmarkEnd w:id="8"/>
      <w:bookmarkEnd w:id="9"/>
      <w:bookmarkEnd w:id="10"/>
      <w:bookmarkEnd w:id="11"/>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14"/>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28</w:t>
      </w:r>
      <w:r>
        <w:rPr>
          <w:rFonts w:hint="eastAsia"/>
          <w:color w:val="000000" w:themeColor="text1"/>
          <w:highlight w:val="none"/>
          <w14:textFill>
            <w14:solidFill>
              <w14:schemeClr w14:val="tx1"/>
            </w14:solidFill>
          </w14:textFill>
        </w:rPr>
        <w:t>日</w:t>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_Toc9016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 xml:space="preserve">第一部分 </w:t>
      </w:r>
      <w:r>
        <w:rPr>
          <w:rFonts w:hint="eastAsia" w:ascii="宋体" w:hAnsi="宋体" w:eastAsia="宋体" w:cs="宋体"/>
          <w:bCs w:val="0"/>
          <w:color w:val="000000" w:themeColor="text1"/>
          <w14:textFill>
            <w14:solidFill>
              <w14:schemeClr w14:val="tx1"/>
            </w14:solidFill>
          </w14:textFill>
        </w:rPr>
        <w:t>部门</w:t>
      </w:r>
      <w:r>
        <w:rPr>
          <w:rFonts w:ascii="宋体" w:hAnsi="宋体" w:eastAsia="宋体" w:cs="宋体"/>
          <w:color w:val="000000"/>
          <w:u w:color="auto"/>
        </w:rPr>
        <w:t>概况</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_Toc9016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w:t>
      </w:r>
      <w:r>
        <w:rPr>
          <w:rFonts w:hint="eastAsia" w:ascii="宋体" w:hAnsi="宋体" w:eastAsia="宋体" w:cs="宋体"/>
          <w:bCs w:val="0"/>
          <w:color w:val="000000" w:themeColor="text1"/>
          <w:sz w:val="24"/>
          <w:szCs w:val="24"/>
          <w:lang w:val="en-US" w:eastAsia="zh-CN"/>
          <w14:textFill>
            <w14:solidFill>
              <w14:schemeClr w14:val="tx1"/>
            </w14:solidFill>
          </w14:textFill>
        </w:rPr>
        <w:t>主要职责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_Toc28564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二、机构设置</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_Toc9058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 xml:space="preserve">第二部分 </w:t>
      </w:r>
      <w:r>
        <w:rPr>
          <w:rFonts w:ascii="宋体" w:hAnsi="宋体" w:eastAsia="宋体" w:cs="宋体"/>
          <w:color w:val="000000"/>
          <w:u w:color="auto"/>
        </w:rPr>
        <w:t>2023年度</w:t>
      </w:r>
      <w:r>
        <w:rPr>
          <w:rFonts w:hint="eastAsia" w:ascii="宋体" w:hAnsi="宋体" w:eastAsia="宋体" w:cs="宋体"/>
          <w:color w:val="000000" w:themeColor="text1"/>
          <w:lang w:val="en-US" w:eastAsia="zh-CN"/>
          <w14:textFill>
            <w14:solidFill>
              <w14:schemeClr w14:val="tx1"/>
            </w14:solidFill>
          </w14:textFill>
        </w:rPr>
        <w:t>部门</w:t>
      </w:r>
      <w:r>
        <w:rPr>
          <w:rFonts w:hint="eastAsia" w:ascii="宋体" w:hAnsi="宋体" w:eastAsia="宋体" w:cs="宋体"/>
          <w:color w:val="000000" w:themeColor="text1"/>
          <w14:textFill>
            <w14:solidFill>
              <w14:schemeClr w14:val="tx1"/>
            </w14:solidFill>
          </w14:textFill>
        </w:rPr>
        <w:t>决算情况说明</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_Toc9058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_Toc19710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_Toc19710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_Toc8125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_Toc8125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_Toc28283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_Toc28283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_Toc19521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_Toc19521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_Toc14368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五、一般公共预算财政拨款支出决算情况说明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_Toc14368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_Toc31578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六、一般公共预算财政拨款基本支出决算情况说明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_Toc31578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_Toc6614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七、“三公”经费财政拨款支出决算情况说明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_Toc6614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_Toc20439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八、政府性基金预算支出决算情况说明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_Toc20439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_Toc23467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九、国有资本经营预算支出决算情况说明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_Toc23467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_Toc18455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十、其他重要事项的情况说明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_Toc18455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_Toc18122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第三部分 名词解释</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_Toc18122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_Toc25539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第四部分 附件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_Toc25539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19</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_Toc21200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第五部分 附表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_Toc21200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30</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_Toc16431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_Toc16431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_Toc25389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_Toc25389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_Toc10450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_Toc10450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_Toc15415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_Toc15415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_Toc17530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五、财政拨款支出决算明细表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_Toc17530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_Toc22032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_Toc22032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_Toc3364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七、一般公共预算财政拨款支出决算明细表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_Toc3364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_Toc9110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八、一般公共预算财政拨款基本支出决算表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_Toc9110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_Toc28582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九、一般公共预算财政拨款项目支出决算表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_Toc28582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_Toc22001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十、政府性基金预算财政拨款收入支出决算表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_Toc22001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_Toc6538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十一、国有资本经营预算财政拨款收入支出决算表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_Toc6538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_Toc10625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十二、国有资本经营预算财政拨款支出决算表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_Toc10625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_Toc28356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十三、财政拨款“三公”经费支出决算表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_Toc28356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5"/>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pPr>
        <w:pStyle w:val="2"/>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9016"/>
      <w:bookmarkStart w:id="14" w:name="_Toc111208495"/>
    </w:p>
    <w:p>
      <w:pPr>
        <w:pStyle w:val="2"/>
        <w:jc w:val="center"/>
        <w:rPr>
          <w:rFonts w:hint="eastAsia" w:ascii="黑体" w:hAnsi="黑体" w:eastAsia="黑体" w:cs="黑体"/>
          <w:b w:val="0"/>
          <w:bCs w:val="0"/>
        </w:rPr>
      </w:pPr>
      <w:r>
        <w:rPr>
          <w:rFonts w:hint="eastAsia" w:ascii="黑体" w:hAnsi="黑体" w:eastAsia="黑体" w:cs="黑体"/>
          <w:b w:val="0"/>
          <w:bCs w:val="0"/>
        </w:rPr>
        <w:t xml:space="preserve">第一部分 </w:t>
      </w:r>
      <w:r>
        <w:rPr>
          <w:rStyle w:val="33"/>
          <w:rFonts w:hint="eastAsia" w:ascii="黑体" w:hAnsi="黑体" w:eastAsia="黑体" w:cs="黑体"/>
          <w:b w:val="0"/>
          <w:bCs w:val="0"/>
        </w:rPr>
        <w:t>部门</w:t>
      </w:r>
      <w:r>
        <w:rPr>
          <w:rStyle w:val="33"/>
          <w:rFonts w:ascii="黑体" w:hAnsi="黑体" w:eastAsia="黑体" w:cs="黑体"/>
          <w:b w:val="0"/>
          <w:bCs w:val="0"/>
          <w:u w:color="auto"/>
        </w:rPr>
        <w:t>概况</w:t>
      </w:r>
      <w:bookmarkEnd w:id="12"/>
      <w:bookmarkEnd w:id="13"/>
      <w:bookmarkEnd w:id="14"/>
    </w:p>
    <w:p>
      <w:pPr>
        <w:pStyle w:val="3"/>
        <w:ind w:firstLine="640" w:firstLineChars="200"/>
        <w:rPr>
          <w:rFonts w:hint="eastAsia" w:ascii="黑体" w:hAnsi="黑体" w:eastAsia="黑体" w:cs="黑体"/>
          <w:b w:val="0"/>
          <w:bCs/>
          <w:color w:val="000000"/>
          <w:lang w:val="en-US" w:eastAsia="zh-CN"/>
        </w:rPr>
      </w:pPr>
      <w:bookmarkStart w:id="15" w:name="_Toc113981010"/>
      <w:bookmarkStart w:id="16" w:name="_Toc28564"/>
      <w:bookmarkStart w:id="17" w:name="_Toc15377197"/>
      <w:bookmarkStart w:id="18" w:name="_Toc111208496"/>
      <w:bookmarkStart w:id="19" w:name="_Toc15377204"/>
      <w:r>
        <w:rPr>
          <w:rFonts w:hint="eastAsia" w:ascii="黑体" w:hAnsi="黑体" w:eastAsia="黑体" w:cs="黑体"/>
          <w:b w:val="0"/>
          <w:bCs/>
          <w:color w:val="000000"/>
        </w:rPr>
        <w:t>一、</w:t>
      </w:r>
      <w:bookmarkEnd w:id="15"/>
      <w:bookmarkEnd w:id="16"/>
      <w:bookmarkEnd w:id="17"/>
      <w:bookmarkEnd w:id="18"/>
      <w:bookmarkStart w:id="20" w:name="_Toc15377198"/>
      <w:bookmarkStart w:id="21" w:name="_Toc15378445"/>
      <w:r>
        <w:rPr>
          <w:rFonts w:hint="eastAsia" w:ascii="黑体" w:hAnsi="黑体" w:eastAsia="黑体" w:cs="黑体"/>
          <w:b w:val="0"/>
          <w:bCs/>
          <w:color w:val="000000"/>
          <w:lang w:val="en-US" w:eastAsia="zh-CN"/>
        </w:rPr>
        <w:t>部门职责</w:t>
      </w:r>
    </w:p>
    <w:bookmarkEnd w:id="20"/>
    <w:bookmarkEnd w:id="21"/>
    <w:p>
      <w:pPr>
        <w:keepNext w:val="0"/>
        <w:keepLines w:val="0"/>
        <w:pageBreakBefore w:val="0"/>
        <w:kinsoku/>
        <w:wordWrap/>
        <w:overflowPunct/>
        <w:topLinePunct w:val="0"/>
        <w:autoSpaceDE w:val="0"/>
        <w:autoSpaceDN/>
        <w:bidi w:val="0"/>
        <w:spacing w:line="590" w:lineRule="exact"/>
        <w:ind w:firstLine="640" w:firstLineChars="200"/>
        <w:textAlignment w:val="auto"/>
        <w:rPr>
          <w:rFonts w:hint="eastAsia" w:ascii="仿宋" w:hAnsi="仿宋" w:eastAsia="仿宋" w:cs="仿宋"/>
          <w:kern w:val="0"/>
          <w:sz w:val="32"/>
          <w:szCs w:val="32"/>
        </w:rPr>
      </w:pPr>
      <w:bookmarkStart w:id="22" w:name="_Toc113981011"/>
      <w:bookmarkStart w:id="23" w:name="_Toc111208497"/>
      <w:bookmarkStart w:id="24" w:name="_Toc22056"/>
      <w:bookmarkStart w:id="25" w:name="_Toc15377200"/>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贯彻执行党和国家关于信访工作的方针、政策、法律、法规以及</w:t>
      </w:r>
      <w:r>
        <w:rPr>
          <w:rFonts w:hint="eastAsia" w:ascii="仿宋" w:hAnsi="仿宋" w:eastAsia="仿宋" w:cs="仿宋"/>
          <w:kern w:val="0"/>
          <w:sz w:val="32"/>
          <w:szCs w:val="32"/>
          <w:lang w:eastAsia="zh-CN"/>
        </w:rPr>
        <w:t>省委、省政府</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市委、市政府</w:t>
      </w:r>
      <w:r>
        <w:rPr>
          <w:rFonts w:hint="eastAsia" w:ascii="仿宋" w:hAnsi="仿宋" w:eastAsia="仿宋" w:cs="仿宋"/>
          <w:kern w:val="0"/>
          <w:sz w:val="32"/>
          <w:szCs w:val="32"/>
        </w:rPr>
        <w:t>和</w:t>
      </w:r>
      <w:r>
        <w:rPr>
          <w:rFonts w:hint="eastAsia" w:ascii="仿宋" w:hAnsi="仿宋" w:eastAsia="仿宋" w:cs="仿宋"/>
          <w:kern w:val="0"/>
          <w:sz w:val="32"/>
          <w:szCs w:val="32"/>
          <w:lang w:eastAsia="zh-CN"/>
        </w:rPr>
        <w:t>县委、县政府</w:t>
      </w:r>
      <w:r>
        <w:rPr>
          <w:rFonts w:hint="eastAsia" w:ascii="仿宋" w:hAnsi="仿宋" w:eastAsia="仿宋" w:cs="仿宋"/>
          <w:kern w:val="0"/>
          <w:sz w:val="32"/>
          <w:szCs w:val="32"/>
        </w:rPr>
        <w:t>的决策部署；制定信访问题排查化解、风险评估等制度并组织实施，提出改进和加强信访工作的意见和建议，推动信访责任制的实施，负责本系统、本部门依法行政工作。</w:t>
      </w:r>
    </w:p>
    <w:p>
      <w:pPr>
        <w:keepNext w:val="0"/>
        <w:keepLines w:val="0"/>
        <w:pageBreakBefore w:val="0"/>
        <w:kinsoku/>
        <w:wordWrap/>
        <w:overflowPunct/>
        <w:topLinePunct w:val="0"/>
        <w:autoSpaceDE w:val="0"/>
        <w:autoSpaceDN/>
        <w:bidi w:val="0"/>
        <w:spacing w:line="59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负责向县委、县政府反映群众来信来电来访中提出的重要建议、意见和问题，综合研判信访信息，开展调查研究，提出制定修改完善有关法规政策的建议。</w:t>
      </w:r>
    </w:p>
    <w:p>
      <w:pPr>
        <w:keepNext w:val="0"/>
        <w:keepLines w:val="0"/>
        <w:pageBreakBefore w:val="0"/>
        <w:kinsoku/>
        <w:wordWrap/>
        <w:overflowPunct/>
        <w:topLinePunct w:val="0"/>
        <w:autoSpaceDE w:val="0"/>
        <w:autoSpaceDN/>
        <w:bidi w:val="0"/>
        <w:spacing w:line="59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综合协调、督促检查指导全县信访工作，总结推广各地各部门信访工作经验，统筹协调信访工作宣传和信息发布。</w:t>
      </w:r>
    </w:p>
    <w:p>
      <w:pPr>
        <w:keepNext w:val="0"/>
        <w:keepLines w:val="0"/>
        <w:pageBreakBefore w:val="0"/>
        <w:kinsoku/>
        <w:wordWrap/>
        <w:overflowPunct/>
        <w:topLinePunct w:val="0"/>
        <w:autoSpaceDE w:val="0"/>
        <w:autoSpaceDN/>
        <w:bidi w:val="0"/>
        <w:spacing w:line="59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负责处理县内外群众、境外人士、法人及其他组织通过信访渠道给县委、县政府及领导同志的来信、来电，接待群众来访。</w:t>
      </w:r>
    </w:p>
    <w:p>
      <w:pPr>
        <w:keepNext w:val="0"/>
        <w:keepLines w:val="0"/>
        <w:pageBreakBefore w:val="0"/>
        <w:kinsoku/>
        <w:wordWrap/>
        <w:overflowPunct/>
        <w:topLinePunct w:val="0"/>
        <w:autoSpaceDE w:val="0"/>
        <w:autoSpaceDN/>
        <w:bidi w:val="0"/>
        <w:spacing w:line="59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承担协调处理群众进京到省、到广安</w:t>
      </w:r>
      <w:r>
        <w:rPr>
          <w:rFonts w:hint="eastAsia" w:ascii="仿宋" w:hAnsi="仿宋" w:eastAsia="仿宋" w:cs="仿宋"/>
          <w:kern w:val="0"/>
          <w:sz w:val="32"/>
          <w:szCs w:val="32"/>
          <w:lang w:eastAsia="zh-CN"/>
        </w:rPr>
        <w:t>市委、市政府</w:t>
      </w:r>
      <w:r>
        <w:rPr>
          <w:rFonts w:hint="eastAsia" w:ascii="仿宋" w:hAnsi="仿宋" w:eastAsia="仿宋" w:cs="仿宋"/>
          <w:kern w:val="0"/>
          <w:sz w:val="32"/>
          <w:szCs w:val="32"/>
        </w:rPr>
        <w:t>及武胜</w:t>
      </w:r>
      <w:r>
        <w:rPr>
          <w:rFonts w:hint="eastAsia" w:ascii="仿宋" w:hAnsi="仿宋" w:eastAsia="仿宋" w:cs="仿宋"/>
          <w:kern w:val="0"/>
          <w:sz w:val="32"/>
          <w:szCs w:val="32"/>
          <w:lang w:eastAsia="zh-CN"/>
        </w:rPr>
        <w:t>县委、县政府</w:t>
      </w:r>
      <w:r>
        <w:rPr>
          <w:rFonts w:hint="eastAsia" w:ascii="仿宋" w:hAnsi="仿宋" w:eastAsia="仿宋" w:cs="仿宋"/>
          <w:kern w:val="0"/>
          <w:sz w:val="32"/>
          <w:szCs w:val="32"/>
        </w:rPr>
        <w:t>集体上访和非接待场所上访的责任；综合协调处理跨地区、跨部门的重要信访问题。</w:t>
      </w:r>
    </w:p>
    <w:p>
      <w:pPr>
        <w:keepNext w:val="0"/>
        <w:keepLines w:val="0"/>
        <w:pageBreakBefore w:val="0"/>
        <w:kinsoku/>
        <w:wordWrap/>
        <w:overflowPunct/>
        <w:topLinePunct w:val="0"/>
        <w:autoSpaceDE w:val="0"/>
        <w:autoSpaceDN/>
        <w:bidi w:val="0"/>
        <w:spacing w:line="59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负责落实党中央、国务院、省委、省政府、广安市委、广安市政府和武胜县委、武胜县政府领导同志批示交办信访事项，向县级各部门（单位）、各乡镇转办、交办信访事项，负责督促检查重要信访事项的处理和落实。</w:t>
      </w:r>
    </w:p>
    <w:p>
      <w:pPr>
        <w:keepNext w:val="0"/>
        <w:keepLines w:val="0"/>
        <w:pageBreakBefore w:val="0"/>
        <w:kinsoku/>
        <w:wordWrap/>
        <w:overflowPunct/>
        <w:topLinePunct w:val="0"/>
        <w:autoSpaceDE w:val="0"/>
        <w:autoSpaceDN/>
        <w:bidi w:val="0"/>
        <w:spacing w:line="59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建立和完善信访信息汇集分析机制，指导运用好信访信息系统。</w:t>
      </w:r>
    </w:p>
    <w:p>
      <w:pPr>
        <w:keepNext w:val="0"/>
        <w:keepLines w:val="0"/>
        <w:pageBreakBefore w:val="0"/>
        <w:kinsoku/>
        <w:wordWrap/>
        <w:overflowPunct/>
        <w:topLinePunct w:val="0"/>
        <w:autoSpaceDE w:val="0"/>
        <w:autoSpaceDN/>
        <w:bidi w:val="0"/>
        <w:spacing w:line="59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承担县信访工作联席会议、县政府信访事项复查复核委员会日常工作，督促落实有关事项。</w:t>
      </w:r>
    </w:p>
    <w:p>
      <w:pPr>
        <w:keepNext w:val="0"/>
        <w:keepLines w:val="0"/>
        <w:pageBreakBefore w:val="0"/>
        <w:kinsoku/>
        <w:wordWrap/>
        <w:overflowPunct/>
        <w:topLinePunct w:val="0"/>
        <w:autoSpaceDE w:val="0"/>
        <w:autoSpaceDN/>
        <w:bidi w:val="0"/>
        <w:spacing w:line="59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负责“共建共治共享”武胜服务平台和政府服务热线管理、县长信箱工作。</w:t>
      </w:r>
    </w:p>
    <w:p>
      <w:pPr>
        <w:keepNext w:val="0"/>
        <w:keepLines w:val="0"/>
        <w:pageBreakBefore w:val="0"/>
        <w:kinsoku/>
        <w:wordWrap/>
        <w:overflowPunct/>
        <w:topLinePunct w:val="0"/>
        <w:autoSpaceDE w:val="0"/>
        <w:autoSpaceDN/>
        <w:bidi w:val="0"/>
        <w:spacing w:line="59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负责职责范围内的安全生产和职业健康、生态环境保护、审批服务便民化工作。</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40" w:firstLineChars="200"/>
        <w:contextualSpacing/>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完成县委和县政府交办的其他任务。</w:t>
      </w:r>
    </w:p>
    <w:p>
      <w:pPr>
        <w:pStyle w:val="3"/>
        <w:ind w:firstLine="640" w:firstLineChars="200"/>
        <w:rPr>
          <w:rFonts w:hint="eastAsia" w:ascii="黑体" w:hAnsi="黑体" w:eastAsia="黑体" w:cs="黑体"/>
          <w:b w:val="0"/>
          <w:bCs/>
          <w:color w:val="000000"/>
        </w:rPr>
      </w:pPr>
      <w:r>
        <w:rPr>
          <w:rFonts w:hint="eastAsia" w:ascii="黑体" w:hAnsi="黑体" w:eastAsia="黑体" w:cs="黑体"/>
          <w:b w:val="0"/>
          <w:bCs/>
          <w:color w:val="000000"/>
        </w:rPr>
        <w:t>二、机构设置</w:t>
      </w:r>
      <w:bookmarkEnd w:id="22"/>
      <w:bookmarkEnd w:id="23"/>
      <w:bookmarkEnd w:id="24"/>
      <w:bookmarkEnd w:id="25"/>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40" w:firstLineChars="200"/>
        <w:contextualSpacing/>
        <w:jc w:val="left"/>
        <w:textAlignment w:val="auto"/>
        <w:outlineLvl w:val="9"/>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zh-CN"/>
        </w:rPr>
        <w:t>武胜县信访局（简称县信访局）是县人民政府工作部门，为正科级，单位内设</w:t>
      </w:r>
      <w:r>
        <w:rPr>
          <w:rFonts w:hint="eastAsia" w:ascii="仿宋" w:hAnsi="仿宋" w:eastAsia="仿宋" w:cs="仿宋"/>
          <w:color w:val="000000"/>
          <w:kern w:val="0"/>
          <w:sz w:val="32"/>
          <w:szCs w:val="32"/>
          <w:highlight w:val="none"/>
          <w:shd w:val="clear" w:color="auto" w:fill="FFFFFF"/>
          <w:lang w:val="en-US" w:eastAsia="zh-CN"/>
        </w:rPr>
        <w:t>5个科室，主要包括：办公室、接访股（增挂群众来访接待中心牌子）、网络办信股、督查督办股、复查复核股。</w:t>
      </w:r>
    </w:p>
    <w:p>
      <w:pPr>
        <w:widowControl/>
        <w:jc w:val="left"/>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pPr>
        <w:pStyle w:val="2"/>
        <w:jc w:val="center"/>
        <w:rPr>
          <w:rFonts w:hint="eastAsia" w:ascii="黑体" w:hAnsi="黑体" w:eastAsia="黑体" w:cs="黑体"/>
          <w:b w:val="0"/>
          <w:bCs w:val="0"/>
        </w:rPr>
      </w:pPr>
      <w:bookmarkStart w:id="26" w:name="_Toc111208498"/>
      <w:bookmarkStart w:id="27" w:name="_Toc9058"/>
      <w:r>
        <w:rPr>
          <w:rFonts w:hint="eastAsia" w:ascii="黑体" w:hAnsi="黑体" w:eastAsia="黑体" w:cs="黑体"/>
          <w:b w:val="0"/>
          <w:bCs w:val="0"/>
        </w:rPr>
        <w:t xml:space="preserve">第二部分 </w:t>
      </w:r>
      <w:r>
        <w:rPr>
          <w:rFonts w:ascii="黑体" w:hAnsi="黑体" w:eastAsia="黑体" w:cs="黑体"/>
          <w:u w:color="auto"/>
        </w:rPr>
        <w:t>2023年度</w:t>
      </w:r>
      <w:r>
        <w:rPr>
          <w:rFonts w:hint="eastAsia" w:ascii="黑体" w:hAnsi="黑体" w:eastAsia="黑体" w:cs="黑体"/>
          <w:b w:val="0"/>
          <w:bCs w:val="0"/>
          <w:lang w:val="en-US" w:eastAsia="zh-CN"/>
        </w:rPr>
        <w:t>部门</w:t>
      </w:r>
      <w:r>
        <w:rPr>
          <w:rFonts w:hint="eastAsia" w:ascii="黑体" w:hAnsi="黑体" w:eastAsia="黑体" w:cs="黑体"/>
          <w:b w:val="0"/>
          <w:bCs w:val="0"/>
        </w:rPr>
        <w:t>决算情况说明</w:t>
      </w:r>
      <w:bookmarkEnd w:id="19"/>
      <w:bookmarkEnd w:id="26"/>
      <w:bookmarkEnd w:id="27"/>
    </w:p>
    <w:p>
      <w:pPr>
        <w:pStyle w:val="3"/>
        <w:ind w:firstLine="640" w:firstLineChars="200"/>
        <w:rPr>
          <w:rFonts w:hint="eastAsia" w:ascii="黑体" w:hAnsi="黑体" w:eastAsia="黑体" w:cs="黑体"/>
          <w:b w:val="0"/>
          <w:bCs/>
          <w:color w:val="000000"/>
        </w:rPr>
      </w:pPr>
      <w:bookmarkStart w:id="28" w:name="_Toc15377205"/>
      <w:bookmarkStart w:id="29" w:name="_Toc19710"/>
      <w:bookmarkStart w:id="30" w:name="_Toc111208499"/>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pPr>
        <w:spacing w:line="600" w:lineRule="exact"/>
        <w:ind w:firstLine="640" w:firstLineChars="200"/>
        <w:rPr>
          <w:rFonts w:hint="eastAsia" w:ascii="仿宋" w:hAnsi="仿宋" w:eastAsia="仿宋" w:cs="仿宋"/>
          <w:color w:val="000000"/>
          <w:sz w:val="28"/>
          <w:szCs w:val="28"/>
        </w:rPr>
      </w:pPr>
      <w:r>
        <w:rPr>
          <w:rFonts w:hint="eastAsia" w:ascii="仿宋" w:hAnsi="仿宋" w:eastAsia="仿宋" w:cs="仿宋"/>
          <w:color w:val="000000"/>
          <w:sz w:val="32"/>
          <w:szCs w:val="32"/>
        </w:rPr>
        <w:t>2023</w:t>
      </w:r>
      <w:r>
        <w:rPr>
          <w:rFonts w:ascii="仿宋" w:hAnsi="仿宋" w:eastAsia="仿宋" w:cs="仿宋"/>
          <w:color w:val="000000"/>
          <w:sz w:val="32"/>
          <w:u w:color="auto"/>
        </w:rPr>
        <w:t>年度收、支总计均为471.04</w:t>
      </w:r>
      <w:r>
        <w:rPr>
          <w:rFonts w:hint="eastAsia" w:ascii="仿宋" w:hAnsi="仿宋" w:eastAsia="仿宋" w:cs="仿宋"/>
          <w:color w:val="000000"/>
          <w:sz w:val="32"/>
          <w:szCs w:val="32"/>
        </w:rPr>
        <w:t>万元。与</w:t>
      </w:r>
      <w:r>
        <w:rPr>
          <w:rFonts w:ascii="仿宋" w:hAnsi="仿宋" w:eastAsia="仿宋" w:cs="仿宋"/>
          <w:color w:val="000000"/>
          <w:sz w:val="32"/>
          <w:u w:color="auto"/>
        </w:rPr>
        <w:t>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相比，收、支总计各</w:t>
      </w:r>
      <w:r>
        <w:rPr>
          <w:rFonts w:ascii="仿宋" w:hAnsi="仿宋" w:eastAsia="仿宋" w:cs="仿宋"/>
          <w:color w:val="000000"/>
          <w:sz w:val="32"/>
          <w:u w:color="auto"/>
        </w:rPr>
        <w:t xml:space="preserve">增加53.43万元，增加12.8%。主要变动原因是项目增加。 </w:t>
      </w:r>
    </w:p>
    <w:p>
      <w:pPr>
        <w:pStyle w:val="5"/>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4338955" cy="2423795"/>
            <wp:effectExtent l="5080" t="4445" r="18415" b="1016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（图1：收、支决算总计变动情况图）</w:t>
      </w:r>
    </w:p>
    <w:p>
      <w:pPr>
        <w:pStyle w:val="3"/>
        <w:ind w:firstLine="640" w:firstLineChars="200"/>
        <w:rPr>
          <w:rFonts w:hint="eastAsia" w:ascii="黑体" w:hAnsi="黑体" w:eastAsia="黑体" w:cs="黑体"/>
          <w:bCs w:val="0"/>
          <w:color w:val="000000"/>
        </w:rPr>
      </w:pPr>
      <w:bookmarkStart w:id="31" w:name="_Toc8125"/>
      <w:bookmarkStart w:id="32" w:name="_Toc15377206"/>
      <w:bookmarkStart w:id="33" w:name="_Toc111208500"/>
      <w:r>
        <w:rPr>
          <w:rFonts w:hint="eastAsia" w:ascii="黑体" w:hAnsi="黑体" w:eastAsia="黑体" w:cs="黑体"/>
          <w:b w:val="0"/>
          <w:bCs/>
          <w:color w:val="000000"/>
        </w:rPr>
        <w:t>二、收入决算情况说明</w:t>
      </w:r>
      <w:bookmarkEnd w:id="31"/>
      <w:bookmarkEnd w:id="32"/>
      <w:bookmarkEnd w:id="33"/>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本年收入合计</w:t>
      </w:r>
      <w:r>
        <w:rPr>
          <w:rFonts w:ascii="仿宋" w:hAnsi="仿宋" w:eastAsia="仿宋" w:cs="仿宋"/>
          <w:color w:val="000000"/>
          <w:sz w:val="32"/>
          <w:u w:color="auto"/>
        </w:rPr>
        <w:t>471.04万元</w:t>
      </w:r>
      <w:r>
        <w:rPr>
          <w:rFonts w:hint="eastAsia" w:ascii="仿宋" w:hAnsi="仿宋" w:eastAsia="仿宋" w:cs="仿宋"/>
          <w:color w:val="000000"/>
          <w:sz w:val="32"/>
          <w:szCs w:val="32"/>
          <w:lang w:val="en-US" w:eastAsia="zh-CN"/>
        </w:rPr>
        <w:t>，其中:一般公共预算财政拨款收入352.69万元，占74.87%；政府性基金预算财政拨款收入118.35万元，占25.13%</w:t>
      </w:r>
      <w:r>
        <w:rPr>
          <w:rFonts w:hint="eastAsia" w:ascii="仿宋" w:hAnsi="仿宋" w:eastAsia="仿宋" w:cs="仿宋"/>
          <w:color w:val="000000"/>
          <w:sz w:val="32"/>
          <w:szCs w:val="32"/>
        </w:rPr>
        <w:t>。</w:t>
      </w:r>
    </w:p>
    <w:p>
      <w:pPr>
        <w:pStyle w:val="16"/>
        <w:ind w:left="1060" w:hanging="640"/>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（图2：收入决算结构图）</w:t>
      </w:r>
    </w:p>
    <w:p>
      <w:pPr>
        <w:pStyle w:val="3"/>
        <w:ind w:firstLine="640" w:firstLineChars="200"/>
        <w:rPr>
          <w:rFonts w:hint="eastAsia" w:ascii="黑体" w:hAnsi="黑体" w:eastAsia="黑体" w:cs="黑体"/>
          <w:b w:val="0"/>
          <w:bCs/>
          <w:color w:val="000000"/>
        </w:rPr>
      </w:pPr>
      <w:bookmarkStart w:id="34" w:name="_Toc15377207"/>
      <w:bookmarkStart w:id="35" w:name="_Toc28283"/>
      <w:bookmarkStart w:id="36" w:name="_Toc111208501"/>
      <w:r>
        <w:rPr>
          <w:rFonts w:hint="eastAsia" w:ascii="黑体" w:hAnsi="黑体" w:eastAsia="黑体" w:cs="黑体"/>
          <w:b w:val="0"/>
          <w:bCs/>
          <w:color w:val="000000"/>
        </w:rPr>
        <w:t>三、支出决算情况说明</w:t>
      </w:r>
      <w:bookmarkEnd w:id="34"/>
      <w:bookmarkEnd w:id="35"/>
      <w:bookmarkEnd w:id="36"/>
    </w:p>
    <w:p>
      <w:pPr>
        <w:pStyle w:val="5"/>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本年支出合计</w:t>
      </w:r>
      <w:r>
        <w:rPr>
          <w:rFonts w:ascii="仿宋" w:hAnsi="仿宋" w:eastAsia="仿宋" w:cs="仿宋"/>
          <w:color w:val="000000"/>
          <w:sz w:val="32"/>
          <w:u w:color="auto"/>
        </w:rPr>
        <w:t>471.04万元</w:t>
      </w:r>
      <w:r>
        <w:rPr>
          <w:rFonts w:hint="eastAsia" w:ascii="仿宋" w:hAnsi="仿宋" w:eastAsia="仿宋" w:cs="仿宋"/>
          <w:color w:val="000000"/>
          <w:sz w:val="32"/>
          <w:szCs w:val="32"/>
          <w:lang w:val="en-US" w:eastAsia="zh-CN"/>
        </w:rPr>
        <w:t>，其中:基本支出326.49万元，占69.31%；项目支出144.55万元，占30.69%</w:t>
      </w:r>
      <w:r>
        <w:rPr>
          <w:rFonts w:hint="eastAsia" w:ascii="仿宋" w:hAnsi="仿宋" w:eastAsia="仿宋" w:cs="仿宋"/>
          <w:color w:val="000000"/>
          <w:sz w:val="32"/>
          <w:szCs w:val="32"/>
        </w:rPr>
        <w:t>。</w:t>
      </w:r>
    </w:p>
    <w:p>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（图3：支出决算结构图）</w:t>
      </w:r>
    </w:p>
    <w:p>
      <w:pPr>
        <w:pStyle w:val="3"/>
        <w:ind w:firstLine="640" w:firstLineChars="200"/>
        <w:rPr>
          <w:rFonts w:hint="eastAsia" w:ascii="黑体" w:hAnsi="黑体" w:eastAsia="黑体" w:cs="黑体"/>
          <w:b w:val="0"/>
          <w:bCs/>
          <w:color w:val="000000"/>
        </w:rPr>
      </w:pPr>
      <w:bookmarkStart w:id="37" w:name="_Toc19521"/>
      <w:bookmarkStart w:id="38" w:name="_Toc15377208"/>
      <w:bookmarkStart w:id="39" w:name="_Toc111208502"/>
      <w:r>
        <w:rPr>
          <w:rFonts w:hint="eastAsia" w:ascii="黑体" w:hAnsi="黑体" w:eastAsia="黑体" w:cs="黑体"/>
          <w:b w:val="0"/>
          <w:bCs/>
          <w:color w:val="000000"/>
        </w:rPr>
        <w:t>四、财政拨款收入支出决算总体情况说明</w:t>
      </w:r>
      <w:bookmarkEnd w:id="37"/>
      <w:bookmarkEnd w:id="38"/>
      <w:bookmarkEnd w:id="39"/>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财政拨款收、支总计均为</w:t>
      </w:r>
      <w:r>
        <w:rPr>
          <w:rFonts w:ascii="仿宋" w:hAnsi="仿宋" w:eastAsia="仿宋" w:cs="仿宋"/>
          <w:color w:val="000000"/>
          <w:sz w:val="32"/>
          <w:u w:color="auto"/>
        </w:rPr>
        <w:t>471.04万元。与2022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相比，财政拨款收、支总计各</w:t>
      </w:r>
      <w:r>
        <w:rPr>
          <w:rFonts w:ascii="仿宋" w:hAnsi="仿宋" w:eastAsia="仿宋" w:cs="仿宋"/>
          <w:color w:val="000000"/>
          <w:sz w:val="32"/>
          <w:u w:color="auto"/>
        </w:rPr>
        <w:t xml:space="preserve">增加53.43万元，增加12.80%。主要变动原因是项目增加。 </w:t>
      </w:r>
    </w:p>
    <w:p>
      <w:pPr>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pPr>
        <w:pStyle w:val="5"/>
        <w:ind w:left="0" w:leftChars="0" w:firstLine="0" w:firstLineChars="0"/>
        <w:jc w:val="left"/>
        <w:rPr>
          <w:rFonts w:hint="eastAsia" w:ascii="思源黑体 CN Normal" w:hAnsi="思源黑体 CN Normal" w:eastAsia="思源黑体 CN Normal" w:cs="思源黑体 CN Normal"/>
          <w:color w:val="000000"/>
          <w:sz w:val="32"/>
          <w:szCs w:val="32"/>
        </w:rPr>
      </w:pPr>
      <w:r>
        <w:rPr>
          <w:rFonts w:hint="eastAsia" w:ascii="思源黑体 CN Normal" w:hAnsi="思源黑体 CN Normal" w:eastAsia="思源黑体 CN Normal" w:cs="思源黑体 CN Normal"/>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（图4：财政拨款收、支决算总计变动情况）</w:t>
      </w:r>
    </w:p>
    <w:p>
      <w:pPr>
        <w:pStyle w:val="3"/>
        <w:ind w:firstLine="640" w:firstLineChars="200"/>
        <w:rPr>
          <w:rFonts w:hint="eastAsia" w:ascii="黑体" w:hAnsi="黑体" w:eastAsia="黑体" w:cs="黑体"/>
          <w:b w:val="0"/>
          <w:bCs/>
          <w:color w:val="000000"/>
        </w:rPr>
      </w:pPr>
      <w:bookmarkStart w:id="40" w:name="_Toc15377209"/>
      <w:bookmarkStart w:id="41" w:name="_Toc14368"/>
      <w:bookmarkStart w:id="42" w:name="_Toc111208503"/>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pPr>
        <w:spacing w:line="600" w:lineRule="exact"/>
        <w:ind w:firstLine="642" w:firstLineChars="200"/>
        <w:outlineLvl w:val="2"/>
        <w:rPr>
          <w:rFonts w:hint="eastAsia" w:ascii="仿宋" w:hAnsi="仿宋" w:eastAsia="仿宋" w:cs="仿宋"/>
          <w:b/>
          <w:color w:val="000000"/>
          <w:sz w:val="32"/>
          <w:szCs w:val="32"/>
        </w:rPr>
      </w:pPr>
      <w:bookmarkStart w:id="43" w:name="_Toc15377210"/>
      <w:r>
        <w:rPr>
          <w:rFonts w:hint="eastAsia" w:ascii="仿宋" w:hAnsi="仿宋" w:eastAsia="仿宋" w:cs="仿宋"/>
          <w:b/>
          <w:color w:val="000000"/>
          <w:sz w:val="32"/>
          <w:szCs w:val="32"/>
        </w:rPr>
        <w:t>（一）一般公共预算财政拨款支出决算总体情况</w:t>
      </w:r>
      <w:bookmarkEnd w:id="43"/>
    </w:p>
    <w:p>
      <w:pPr>
        <w:spacing w:line="600" w:lineRule="exact"/>
        <w:ind w:firstLine="640" w:firstLineChars="200"/>
        <w:rPr>
          <w:rFonts w:hint="eastAsia" w:ascii="思源黑体 CN Normal" w:hAnsi="思源黑体 CN Normal" w:eastAsia="仿宋" w:cs="思源黑体 CN Normal"/>
          <w:b/>
          <w:color w:val="000000"/>
          <w:sz w:val="32"/>
          <w:szCs w:val="32"/>
          <w:lang w:val="en-US" w:eastAsia="zh-CN"/>
        </w:rPr>
      </w:pPr>
      <w:bookmarkStart w:id="44" w:name="_Toc15377211"/>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352.69万元，占本年支出合计的74.87%。与2022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相比，一般公共预算财政拨款</w:t>
      </w:r>
      <w:r>
        <w:rPr>
          <w:rFonts w:ascii="仿宋" w:hAnsi="仿宋" w:eastAsia="仿宋" w:cs="仿宋"/>
          <w:color w:val="000000"/>
          <w:sz w:val="32"/>
          <w:u w:color="auto"/>
        </w:rPr>
        <w:t xml:space="preserve">减少14.93万元，减少4.06 %。主要变动原因是项目增加。 </w:t>
      </w:r>
    </w:p>
    <w:p>
      <w:pPr>
        <w:pStyle w:val="5"/>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eastAsia" w:ascii="思源黑体 CN Normal" w:hAnsi="思源黑体 CN Normal" w:eastAsia="思源黑体 CN Normal" w:cs="思源黑体 CN Normal"/>
          <w:b/>
          <w:color w:val="000000"/>
          <w:sz w:val="32"/>
          <w:szCs w:val="32"/>
        </w:rPr>
      </w:pPr>
      <w:r>
        <w:rPr>
          <w:rFonts w:hint="eastAsia" w:ascii="仿宋" w:hAnsi="仿宋" w:eastAsia="仿宋" w:cs="仿宋"/>
          <w:color w:val="000000"/>
          <w:sz w:val="32"/>
          <w:szCs w:val="32"/>
        </w:rPr>
        <w:t>（图5：一般公共预算财政拨款支出决算变动情况）</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4"/>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352.69万元，主要用于以下方面: 一般公共服务支出273.25万元，占77.48%；社会保障和就业支出43.35万元，占12.29%；卫生健康支出11.72万元，占3.32%；农林水支出1.94万元，占0.55%；住房保障支出22.43万元，占6.36%。</w:t>
      </w:r>
    </w:p>
    <w:p>
      <w:pPr>
        <w:pStyle w:val="5"/>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rPr>
        <w:drawing>
          <wp:inline distT="0" distB="0" distL="0" distR="0">
            <wp:extent cx="4333240" cy="2886075"/>
            <wp:effectExtent l="4445" t="4445" r="5715"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hint="eastAsia" w:ascii="思源黑体 CN Normal" w:hAnsi="思源黑体 CN Normal" w:eastAsia="思源黑体 CN Normal" w:cs="思源黑体 CN Normal"/>
        </w:rPr>
      </w:pPr>
      <w:r>
        <w:rPr>
          <w:rFonts w:hint="eastAsia" w:ascii="仿宋" w:hAnsi="仿宋" w:eastAsia="仿宋" w:cs="仿宋"/>
          <w:color w:val="000000"/>
          <w:sz w:val="32"/>
          <w:szCs w:val="32"/>
        </w:rPr>
        <w:t>（图6：一般公共预算财政拨款支出决算结构）</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5"/>
    </w:p>
    <w:p>
      <w:pPr>
        <w:spacing w:line="600" w:lineRule="exact"/>
        <w:ind w:firstLine="640"/>
        <w:rPr>
          <w:rFonts w:hint="eastAsia" w:ascii="仿宋" w:hAnsi="仿宋" w:eastAsia="仿宋" w:cs="仿宋"/>
          <w:b/>
          <w:bCs/>
          <w:color w:val="000000"/>
          <w:sz w:val="32"/>
          <w:szCs w:val="32"/>
        </w:rPr>
      </w:pPr>
      <w:bookmarkStart w:id="46" w:name="_Toc15377444"/>
      <w:bookmarkStart w:id="47" w:name="_Toc15378460"/>
      <w:bookmarkStart w:id="48" w:name="_Toc15377213"/>
      <w:r>
        <w:rPr>
          <w:rFonts w:hint="eastAsia" w:ascii="仿宋" w:hAnsi="仿宋" w:eastAsia="仿宋" w:cs="仿宋"/>
          <w:b/>
          <w:bCs/>
          <w:color w:val="000000"/>
          <w:sz w:val="32"/>
          <w:szCs w:val="32"/>
        </w:rPr>
        <w:t>2023</w:t>
      </w:r>
      <w:r>
        <w:rPr>
          <w:rFonts w:hint="eastAsia" w:ascii="仿宋" w:hAnsi="仿宋" w:eastAsia="仿宋" w:cs="仿宋"/>
          <w:b/>
          <w:bCs/>
          <w:color w:val="000000"/>
          <w:sz w:val="32"/>
          <w:szCs w:val="32"/>
          <w:lang w:val="en-US" w:eastAsia="zh-CN"/>
        </w:rPr>
        <w:t>年度</w:t>
      </w:r>
      <w:r>
        <w:rPr>
          <w:rFonts w:hint="eastAsia" w:ascii="仿宋" w:hAnsi="仿宋" w:eastAsia="仿宋" w:cs="仿宋"/>
          <w:b/>
          <w:bCs/>
          <w:color w:val="000000"/>
          <w:sz w:val="32"/>
          <w:szCs w:val="32"/>
        </w:rPr>
        <w:t>一般公共预算支出决算数为</w:t>
      </w:r>
      <w:r>
        <w:rPr>
          <w:rFonts w:ascii="仿宋" w:hAnsi="仿宋" w:eastAsia="仿宋" w:cs="仿宋"/>
          <w:b/>
          <w:bCs/>
          <w:color w:val="000000"/>
          <w:sz w:val="32"/>
          <w:u w:color="auto"/>
        </w:rPr>
        <w:t>352.69万元，完成预算100%。其中：</w:t>
      </w:r>
      <w:bookmarkEnd w:id="46"/>
      <w:bookmarkEnd w:id="47"/>
      <w:bookmarkEnd w:id="48"/>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1.一般公共服务支出（类）政府办公厅（室）及相关机构事务（款）行政运行（项）:</w:t>
      </w:r>
      <w:r>
        <w:rPr>
          <w:rFonts w:hint="eastAsia" w:ascii="仿宋" w:hAnsi="仿宋" w:eastAsia="仿宋" w:cs="仿宋"/>
          <w:color w:val="000000"/>
          <w:sz w:val="32"/>
          <w:szCs w:val="32"/>
        </w:rPr>
        <w:t>支出决算237.13万元，完成预算100%。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2.一般公共服务支出（类）政府办公厅（室）及相关机构事务（款）一般行政管理事务（项）:</w:t>
      </w:r>
      <w:r>
        <w:rPr>
          <w:rFonts w:hint="eastAsia" w:ascii="仿宋" w:hAnsi="仿宋" w:eastAsia="仿宋" w:cs="仿宋"/>
          <w:color w:val="000000"/>
          <w:sz w:val="32"/>
          <w:szCs w:val="32"/>
        </w:rPr>
        <w:t>支出决算26.20万元，完成预算100%。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3.一般公共服务支出（类）政府办公厅（室）及相关机构事务（款）事业运行（项）:</w:t>
      </w:r>
      <w:r>
        <w:rPr>
          <w:rFonts w:hint="eastAsia" w:ascii="仿宋" w:hAnsi="仿宋" w:eastAsia="仿宋" w:cs="仿宋"/>
          <w:color w:val="000000"/>
          <w:sz w:val="32"/>
          <w:szCs w:val="32"/>
        </w:rPr>
        <w:t>支出决算9.92万元，完成预算100%。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4.社会保障和就业支出（类）行政事业单位养老支出（款）行政单位离退休（项）:</w:t>
      </w:r>
      <w:r>
        <w:rPr>
          <w:rFonts w:hint="eastAsia" w:ascii="仿宋" w:hAnsi="仿宋" w:eastAsia="仿宋" w:cs="仿宋"/>
          <w:color w:val="000000"/>
          <w:sz w:val="32"/>
          <w:szCs w:val="32"/>
        </w:rPr>
        <w:t>支出决算11.48万元，完成预算100%。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5.社会保障和就业支出（类）行政事业单位养老支出（款）事业单位离退休（项）:</w:t>
      </w:r>
      <w:r>
        <w:rPr>
          <w:rFonts w:hint="eastAsia" w:ascii="仿宋" w:hAnsi="仿宋" w:eastAsia="仿宋" w:cs="仿宋"/>
          <w:color w:val="000000"/>
          <w:sz w:val="32"/>
          <w:szCs w:val="32"/>
        </w:rPr>
        <w:t>支出决算1.97万元，完成预算100%。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6.社会保障和就业支出（类）行政事业单位养老支出（款）机关事业单位基本养老保险缴费支出（项）:</w:t>
      </w:r>
      <w:r>
        <w:rPr>
          <w:rFonts w:hint="eastAsia" w:ascii="仿宋" w:hAnsi="仿宋" w:eastAsia="仿宋" w:cs="仿宋"/>
          <w:color w:val="000000"/>
          <w:sz w:val="32"/>
          <w:szCs w:val="32"/>
        </w:rPr>
        <w:t>支出决算29.90万元，完成预算100%。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7.卫生健康支出（类）行政事业单位医疗（款）行政单位医疗（项）:</w:t>
      </w:r>
      <w:r>
        <w:rPr>
          <w:rFonts w:hint="eastAsia" w:ascii="仿宋" w:hAnsi="仿宋" w:eastAsia="仿宋" w:cs="仿宋"/>
          <w:color w:val="000000"/>
          <w:sz w:val="32"/>
          <w:szCs w:val="32"/>
        </w:rPr>
        <w:t>支出决算7.97万元，完成预算100%。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8.卫生健康支出（类）行政事业单位医疗（款）事业单位医疗（项）:</w:t>
      </w:r>
      <w:r>
        <w:rPr>
          <w:rFonts w:hint="eastAsia" w:ascii="仿宋" w:hAnsi="仿宋" w:eastAsia="仿宋" w:cs="仿宋"/>
          <w:color w:val="000000"/>
          <w:sz w:val="32"/>
          <w:szCs w:val="32"/>
        </w:rPr>
        <w:t>支出决算0.40万元，完成预算100%。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9.卫生健康支出（类）行政事业单位医疗（款）公务员医疗补助（项）:</w:t>
      </w:r>
      <w:r>
        <w:rPr>
          <w:rFonts w:hint="eastAsia" w:ascii="仿宋" w:hAnsi="仿宋" w:eastAsia="仿宋" w:cs="仿宋"/>
          <w:color w:val="000000"/>
          <w:sz w:val="32"/>
          <w:szCs w:val="32"/>
        </w:rPr>
        <w:t>支出决算3.34万元，完成预算100%。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10.农林水支出（类）农业农村（款）其他农业农村支出（项）:</w:t>
      </w:r>
      <w:r>
        <w:rPr>
          <w:rFonts w:hint="eastAsia" w:ascii="仿宋" w:hAnsi="仿宋" w:eastAsia="仿宋" w:cs="仿宋"/>
          <w:color w:val="000000"/>
          <w:sz w:val="32"/>
          <w:szCs w:val="32"/>
        </w:rPr>
        <w:t>支出决算1.94万元，完成预算100%。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11.住房保障支出（类）住房改革支出（款）住房公积金（项）:</w:t>
      </w:r>
      <w:r>
        <w:rPr>
          <w:rFonts w:hint="eastAsia" w:ascii="仿宋" w:hAnsi="仿宋" w:eastAsia="仿宋" w:cs="仿宋"/>
          <w:color w:val="000000"/>
          <w:sz w:val="32"/>
          <w:szCs w:val="32"/>
        </w:rPr>
        <w:t>支出决算22.43万元，完成预算100%。</w:t>
      </w:r>
    </w:p>
    <w:p>
      <w:pPr>
        <w:pStyle w:val="3"/>
        <w:ind w:firstLine="640" w:firstLineChars="200"/>
        <w:rPr>
          <w:rFonts w:hint="eastAsia" w:ascii="黑体" w:hAnsi="黑体" w:eastAsia="黑体" w:cs="黑体"/>
          <w:b w:val="0"/>
          <w:color w:val="000000"/>
        </w:rPr>
      </w:pPr>
      <w:bookmarkStart w:id="49" w:name="_Toc15377214"/>
      <w:bookmarkStart w:id="50" w:name="_Toc31578"/>
      <w:bookmarkStart w:id="51" w:name="_Toc111208504"/>
      <w:r>
        <w:rPr>
          <w:rFonts w:hint="eastAsia" w:ascii="黑体" w:hAnsi="黑体" w:eastAsia="黑体" w:cs="黑体"/>
          <w:b w:val="0"/>
          <w:bCs/>
          <w:color w:val="000000"/>
        </w:rPr>
        <w:t>六、一般公共预算财政拨款基本支出决算情况说</w:t>
      </w:r>
      <w:bookmarkEnd w:id="49"/>
      <w:r>
        <w:rPr>
          <w:rFonts w:hint="eastAsia" w:ascii="黑体" w:hAnsi="黑体" w:eastAsia="黑体" w:cs="黑体"/>
          <w:b w:val="0"/>
          <w:bCs/>
          <w:color w:val="000000"/>
        </w:rPr>
        <w:t>明</w:t>
      </w:r>
      <w:bookmarkEnd w:id="50"/>
      <w:bookmarkEnd w:id="51"/>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一般公共预算财政拨款基本支出</w:t>
      </w:r>
      <w:r>
        <w:rPr>
          <w:rFonts w:ascii="仿宋" w:hAnsi="仿宋" w:eastAsia="仿宋" w:cs="仿宋"/>
          <w:color w:val="000000"/>
          <w:sz w:val="32"/>
          <w:u w:color="auto"/>
        </w:rPr>
        <w:t>326.49万元，其中：</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人员经费</w:t>
      </w:r>
      <w:r>
        <w:rPr>
          <w:rFonts w:ascii="仿宋" w:hAnsi="仿宋" w:eastAsia="仿宋" w:cs="仿宋"/>
          <w:color w:val="000000"/>
          <w:sz w:val="32"/>
          <w:u w:color="auto"/>
        </w:rPr>
        <w:t>291.38万元，主要包括：基本工资69.16万元、津贴补贴49.78万元、奖金83.23万元、绩效工资0.47万元、机关事业单位基本养老保险缴费29.90万元、职工基本医疗保险缴费8.38万元、公务员医疗补助缴费3.34万元、其他社会保障缴费0.42万元、住房公积金22.43万元、生活补助24.26万元、奖励金0.01万元。</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公用经费</w:t>
      </w:r>
      <w:r>
        <w:rPr>
          <w:rFonts w:ascii="仿宋" w:hAnsi="仿宋" w:eastAsia="仿宋" w:cs="仿宋"/>
          <w:color w:val="000000"/>
          <w:sz w:val="32"/>
          <w:u w:color="auto"/>
        </w:rPr>
        <w:t>35.11万元，主要包括：办公费3.30万元、水费0.30万元、电费2.30万元、邮电费4.00万元、差旅费6.54万元、维修（护）费1.00万元、租赁费1.00万元、公务接待费0.50万元、工会经费1.29万元、其他交通费用13.88万元、其他商品和服务支出1.00万元。</w:t>
      </w:r>
    </w:p>
    <w:p>
      <w:pPr>
        <w:pStyle w:val="3"/>
        <w:ind w:firstLine="640" w:firstLineChars="200"/>
        <w:rPr>
          <w:rFonts w:hint="eastAsia" w:ascii="黑体" w:hAnsi="黑体" w:eastAsia="黑体" w:cs="黑体"/>
          <w:b w:val="0"/>
          <w:bCs/>
          <w:color w:val="000000"/>
        </w:rPr>
      </w:pPr>
      <w:bookmarkStart w:id="52" w:name="_Toc6614"/>
      <w:bookmarkStart w:id="53" w:name="_Toc15377215"/>
      <w:bookmarkStart w:id="54" w:name="_Toc111208505"/>
      <w:r>
        <w:rPr>
          <w:rFonts w:hint="eastAsia" w:ascii="黑体" w:hAnsi="黑体" w:eastAsia="黑体" w:cs="黑体"/>
          <w:b w:val="0"/>
          <w:bCs/>
          <w:color w:val="000000"/>
        </w:rPr>
        <w:t>七、“三公”经费财政拨款支出决算情况说明</w:t>
      </w:r>
      <w:bookmarkEnd w:id="52"/>
      <w:bookmarkEnd w:id="53"/>
      <w:bookmarkEnd w:id="54"/>
    </w:p>
    <w:p>
      <w:pPr>
        <w:spacing w:line="600" w:lineRule="exact"/>
        <w:ind w:firstLine="642" w:firstLineChars="200"/>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“三公”经费财政拨款支出决算为</w:t>
      </w:r>
      <w:r>
        <w:rPr>
          <w:rFonts w:ascii="仿宋" w:hAnsi="仿宋" w:eastAsia="仿宋" w:cs="仿宋"/>
          <w:color w:val="000000"/>
          <w:sz w:val="32"/>
          <w:u w:color="auto"/>
        </w:rPr>
        <w:t>0.50万元，完成预算100.00%，较上年度增加0.31万元，增加1.65%。决算数小于预算数（或与预算数持平）的主要原因</w:t>
      </w:r>
      <w:r>
        <w:rPr>
          <w:rFonts w:hint="eastAsia" w:ascii="仿宋" w:hAnsi="仿宋" w:eastAsia="仿宋" w:cs="仿宋"/>
          <w:color w:val="000000"/>
          <w:sz w:val="32"/>
          <w:u w:color="auto"/>
          <w:lang w:val="en-US" w:eastAsia="zh-CN"/>
        </w:rPr>
        <w:t>是提倡厉行节约，上年因业务活动增加</w:t>
      </w:r>
      <w:r>
        <w:rPr>
          <w:rFonts w:ascii="仿宋" w:hAnsi="仿宋" w:eastAsia="仿宋" w:cs="仿宋"/>
          <w:color w:val="000000"/>
          <w:sz w:val="32"/>
          <w:u w:color="auto"/>
        </w:rPr>
        <w:t>。</w:t>
      </w:r>
      <w:bookmarkStart w:id="56" w:name="_Toc15377217"/>
    </w:p>
    <w:p>
      <w:pPr>
        <w:spacing w:line="600" w:lineRule="exact"/>
        <w:ind w:firstLine="640"/>
        <w:rPr>
          <w:rFonts w:hint="eastAsia"/>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w:t>
      </w:r>
      <w:r>
        <w:rPr>
          <w:rFonts w:ascii="仿宋" w:hAnsi="仿宋" w:eastAsia="仿宋" w:cs="仿宋"/>
          <w:color w:val="000000"/>
          <w:sz w:val="32"/>
          <w:u w:color="auto"/>
        </w:rPr>
        <w:t>0.50万元，因公出国（境）费支出决算0.00万元，占0.00%；公务用车购置及运行维护费支出决算0.00万元，占0.00%；公务接待费支出决算0.50万元，占100.00%。具体情况如下：</w:t>
      </w:r>
    </w:p>
    <w:p>
      <w:pPr>
        <w:pStyle w:val="5"/>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（图7：“三公”经费财政拨款支出结构）</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1.因公出国（境）经费支出</w:t>
      </w:r>
      <w:r>
        <w:rPr>
          <w:rFonts w:hint="eastAsia" w:ascii="仿宋" w:hAnsi="仿宋" w:eastAsia="仿宋" w:cs="仿宋"/>
          <w:color w:val="000000"/>
          <w:sz w:val="32"/>
          <w:szCs w:val="32"/>
        </w:rPr>
        <w:t>0.00</w:t>
      </w:r>
      <w:r>
        <w:rPr>
          <w:rFonts w:ascii="仿宋" w:hAnsi="仿宋" w:eastAsia="仿宋" w:cs="仿宋"/>
          <w:color w:val="000000"/>
          <w:sz w:val="32"/>
          <w:u w:color="auto"/>
        </w:rPr>
        <w:t xml:space="preserve">万元,完成预算100%。全年安排因公出国（境）团组0次，出国（境）0人。因公出国（境）支出决算比2022年增加0.00万元，增加0.00 %。 </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2.公务用车购置及运行维护费支出</w:t>
      </w:r>
      <w:r>
        <w:rPr>
          <w:rFonts w:hint="eastAsia" w:ascii="仿宋" w:hAnsi="仿宋" w:eastAsia="仿宋" w:cs="仿宋"/>
          <w:color w:val="000000"/>
          <w:sz w:val="32"/>
          <w:szCs w:val="32"/>
        </w:rPr>
        <w:t>0.00</w:t>
      </w:r>
      <w:r>
        <w:rPr>
          <w:rFonts w:ascii="仿宋" w:hAnsi="仿宋" w:eastAsia="仿宋" w:cs="仿宋"/>
          <w:color w:val="000000"/>
          <w:sz w:val="32"/>
          <w:u w:color="auto"/>
        </w:rPr>
        <w:t>万元,完成预算0.00%。公务用车购置及运行维护费支出决算比2022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增加0.00</w:t>
      </w:r>
      <w:r>
        <w:rPr>
          <w:rFonts w:ascii="仿宋" w:hAnsi="仿宋" w:eastAsia="仿宋" w:cs="仿宋"/>
          <w:color w:val="000000"/>
          <w:sz w:val="32"/>
          <w:u w:color="auto"/>
        </w:rPr>
        <w:t xml:space="preserve">万元，增加0%。 </w:t>
      </w:r>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其中：</w:t>
      </w:r>
      <w:r>
        <w:rPr>
          <w:rFonts w:hint="eastAsia" w:ascii="仿宋" w:hAnsi="仿宋" w:eastAsia="仿宋" w:cs="仿宋"/>
          <w:b/>
          <w:bCs/>
          <w:color w:val="000000"/>
          <w:sz w:val="32"/>
          <w:szCs w:val="32"/>
        </w:rPr>
        <w:t>公务用车购置支出</w:t>
      </w:r>
      <w:r>
        <w:rPr>
          <w:rFonts w:hint="eastAsia" w:ascii="仿宋" w:hAnsi="仿宋" w:eastAsia="仿宋" w:cs="仿宋"/>
          <w:color w:val="000000"/>
          <w:sz w:val="32"/>
          <w:szCs w:val="32"/>
        </w:rPr>
        <w:t>0.00</w:t>
      </w:r>
      <w:r>
        <w:rPr>
          <w:rFonts w:ascii="仿宋" w:hAnsi="仿宋" w:eastAsia="仿宋" w:cs="仿宋"/>
          <w:color w:val="000000"/>
          <w:sz w:val="32"/>
          <w:u w:color="auto"/>
        </w:rPr>
        <w:t>万元。全年按规定更新购置公务用车0辆，其中：轿车0辆、金额0.00万元，越野车0辆、金额0.00万元，载客汽车0辆、金额0.00万元。截至2023年12月</w:t>
      </w:r>
      <w:r>
        <w:rPr>
          <w:rFonts w:hint="eastAsia" w:ascii="仿宋" w:hAnsi="仿宋" w:eastAsia="仿宋" w:cs="仿宋"/>
          <w:color w:val="000000"/>
          <w:sz w:val="32"/>
          <w:szCs w:val="32"/>
          <w:lang w:val="en-US" w:eastAsia="zh-CN"/>
        </w:rPr>
        <w:t>31日</w:t>
      </w:r>
      <w:r>
        <w:rPr>
          <w:rFonts w:hint="eastAsia" w:ascii="仿宋" w:hAnsi="仿宋" w:eastAsia="仿宋" w:cs="仿宋"/>
          <w:color w:val="000000"/>
          <w:sz w:val="32"/>
          <w:szCs w:val="32"/>
        </w:rPr>
        <w:t>，单位共有公务用车</w:t>
      </w:r>
      <w:r>
        <w:rPr>
          <w:rFonts w:ascii="仿宋" w:hAnsi="仿宋" w:eastAsia="仿宋" w:cs="仿宋"/>
          <w:color w:val="000000"/>
          <w:sz w:val="32"/>
          <w:u w:color="auto"/>
        </w:rPr>
        <w:t>0辆，其中：轿车0辆、越野车0辆、载客汽车0辆</w:t>
      </w:r>
      <w:r>
        <w:rPr>
          <w:rFonts w:hint="eastAsia" w:ascii="仿宋" w:hAnsi="仿宋" w:eastAsia="仿宋" w:cs="仿宋"/>
          <w:color w:val="000000"/>
          <w:sz w:val="32"/>
          <w:szCs w:val="32"/>
          <w:lang w:val="en-US" w:eastAsia="zh-CN"/>
        </w:rPr>
        <w:t>。</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公务用车运行维护费支出</w:t>
      </w:r>
      <w:r>
        <w:rPr>
          <w:rFonts w:hint="eastAsia" w:ascii="仿宋" w:hAnsi="仿宋" w:eastAsia="仿宋" w:cs="仿宋"/>
          <w:color w:val="000000"/>
          <w:sz w:val="32"/>
          <w:szCs w:val="32"/>
        </w:rPr>
        <w:t>0.00</w:t>
      </w:r>
      <w:r>
        <w:rPr>
          <w:rFonts w:ascii="仿宋" w:hAnsi="仿宋" w:eastAsia="仿宋" w:cs="仿宋"/>
          <w:color w:val="000000"/>
          <w:sz w:val="32"/>
          <w:u w:color="auto"/>
        </w:rPr>
        <w:t xml:space="preserve">万元。 </w:t>
      </w:r>
    </w:p>
    <w:p>
      <w:pPr>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rPr>
        <w:t>3.公务接待费支出</w:t>
      </w:r>
      <w:r>
        <w:rPr>
          <w:rFonts w:hint="eastAsia" w:ascii="仿宋" w:hAnsi="仿宋" w:eastAsia="仿宋" w:cs="仿宋"/>
          <w:color w:val="000000"/>
          <w:sz w:val="32"/>
          <w:szCs w:val="32"/>
        </w:rPr>
        <w:t>0.50</w:t>
      </w:r>
      <w:r>
        <w:rPr>
          <w:rFonts w:ascii="仿宋" w:hAnsi="仿宋" w:eastAsia="仿宋" w:cs="仿宋"/>
          <w:color w:val="000000"/>
          <w:sz w:val="32"/>
          <w:u w:color="auto"/>
        </w:rPr>
        <w:t>万元，完成预算100.00%。公务接待费支出决算比2022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增加0.31</w:t>
      </w:r>
      <w:r>
        <w:rPr>
          <w:rFonts w:ascii="仿宋" w:hAnsi="仿宋" w:eastAsia="仿宋" w:cs="仿宋"/>
          <w:color w:val="000000"/>
          <w:sz w:val="32"/>
          <w:u w:color="auto"/>
        </w:rPr>
        <w:t>万元，减少0.01%。</w:t>
      </w:r>
      <w:bookmarkStart w:id="57" w:name="_Toc15377218"/>
      <w:r>
        <w:rPr>
          <w:rFonts w:hint="eastAsia" w:ascii="仿宋" w:hAnsi="仿宋" w:eastAsia="仿宋" w:cs="仿宋"/>
          <w:color w:val="000000"/>
          <w:sz w:val="32"/>
          <w:szCs w:val="32"/>
        </w:rPr>
        <w:t xml:space="preserve">主要原因是信访工作增加。 </w:t>
      </w:r>
      <w:r>
        <w:rPr>
          <w:rFonts w:hint="eastAsia" w:ascii="仿宋" w:hAnsi="仿宋" w:eastAsia="仿宋" w:cs="仿宋"/>
          <w:color w:val="000000"/>
          <w:sz w:val="32"/>
          <w:szCs w:val="32"/>
          <w:lang w:val="en-US" w:eastAsia="zh-CN"/>
        </w:rPr>
        <w:t>其中：</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国内公务接待支出</w:t>
      </w:r>
      <w:r>
        <w:rPr>
          <w:rFonts w:hint="eastAsia" w:ascii="仿宋" w:hAnsi="仿宋" w:eastAsia="仿宋" w:cs="仿宋"/>
          <w:color w:val="000000"/>
          <w:sz w:val="32"/>
          <w:szCs w:val="32"/>
        </w:rPr>
        <w:t>0.50</w:t>
      </w:r>
      <w:r>
        <w:rPr>
          <w:rFonts w:ascii="仿宋" w:hAnsi="仿宋" w:eastAsia="仿宋" w:cs="仿宋"/>
          <w:color w:val="000000"/>
          <w:sz w:val="32"/>
          <w:u w:color="auto"/>
        </w:rPr>
        <w:t>万元，主要用于执行公务、开展业务活动开支的交通费、住宿费、用餐费等。国内公务接待4批次，34人次（不包括陪同人员），共计支出0.50万元，具体内容包括：</w:t>
      </w:r>
      <w:r>
        <w:rPr>
          <w:rFonts w:hint="eastAsia" w:ascii="仿宋" w:hAnsi="仿宋" w:eastAsia="仿宋" w:cs="仿宋"/>
          <w:color w:val="000000"/>
          <w:sz w:val="32"/>
          <w:u w:color="auto"/>
          <w:lang w:val="en-US" w:eastAsia="zh-CN"/>
        </w:rPr>
        <w:t>信访活动人员接待</w:t>
      </w:r>
      <w:r>
        <w:rPr>
          <w:rFonts w:ascii="仿宋" w:hAnsi="仿宋" w:eastAsia="仿宋" w:cs="仿宋"/>
          <w:color w:val="000000"/>
          <w:sz w:val="32"/>
          <w:u w:color="auto"/>
        </w:rPr>
        <w:t>。</w:t>
      </w:r>
    </w:p>
    <w:p>
      <w:pPr>
        <w:pStyle w:val="5"/>
        <w:rPr>
          <w:rFonts w:hint="eastAsia" w:ascii="仿宋" w:hAnsi="仿宋" w:eastAsia="仿宋" w:cs="仿宋"/>
          <w:color w:val="000000"/>
          <w:sz w:val="32"/>
          <w:szCs w:val="32"/>
        </w:rPr>
      </w:pPr>
      <w:r>
        <w:rPr>
          <w:rFonts w:hint="eastAsia" w:ascii="仿宋" w:hAnsi="仿宋" w:eastAsia="仿宋" w:cs="仿宋"/>
          <w:b/>
          <w:bCs/>
          <w:color w:val="000000"/>
          <w:sz w:val="32"/>
          <w:szCs w:val="32"/>
        </w:rPr>
        <w:t>外事接待支出</w:t>
      </w:r>
      <w:r>
        <w:rPr>
          <w:rFonts w:hint="eastAsia" w:ascii="仿宋" w:hAnsi="仿宋" w:eastAsia="仿宋" w:cs="仿宋"/>
          <w:color w:val="000000"/>
          <w:sz w:val="32"/>
          <w:szCs w:val="32"/>
        </w:rPr>
        <w:t>0.00</w:t>
      </w:r>
      <w:r>
        <w:rPr>
          <w:rFonts w:ascii="仿宋" w:hAnsi="仿宋" w:eastAsia="仿宋" w:cs="仿宋"/>
          <w:color w:val="000000"/>
          <w:sz w:val="32"/>
          <w:u w:color="auto"/>
        </w:rPr>
        <w:t>万元。外事接待0批次，0人次（不包括陪同人员），共计支出0.00万元。</w:t>
      </w:r>
    </w:p>
    <w:p>
      <w:pPr>
        <w:pStyle w:val="3"/>
        <w:ind w:firstLine="640" w:firstLineChars="200"/>
        <w:rPr>
          <w:rFonts w:hint="eastAsia" w:ascii="黑体" w:hAnsi="黑体" w:eastAsia="黑体" w:cs="黑体"/>
          <w:b w:val="0"/>
          <w:bCs/>
          <w:color w:val="000000"/>
        </w:rPr>
      </w:pPr>
      <w:bookmarkStart w:id="58" w:name="_Toc20439"/>
      <w:bookmarkStart w:id="59" w:name="_Toc111208506"/>
      <w:r>
        <w:rPr>
          <w:rFonts w:hint="eastAsia" w:ascii="黑体" w:hAnsi="黑体" w:eastAsia="黑体" w:cs="黑体"/>
          <w:b w:val="0"/>
          <w:bCs/>
          <w:color w:val="000000"/>
        </w:rPr>
        <w:t>八、政府性基金预算支出决算情况说明</w:t>
      </w:r>
      <w:bookmarkEnd w:id="57"/>
      <w:bookmarkEnd w:id="58"/>
      <w:bookmarkEnd w:id="59"/>
    </w:p>
    <w:p>
      <w:pPr>
        <w:spacing w:line="600" w:lineRule="exact"/>
        <w:ind w:firstLine="640"/>
        <w:rPr>
          <w:rFonts w:hint="eastAsia" w:ascii="仿宋" w:hAnsi="仿宋" w:eastAsia="仿宋" w:cs="仿宋"/>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bookmarkStart w:id="92" w:name="_GoBack"/>
      <w:bookmarkEnd w:id="92"/>
      <w:r>
        <w:rPr>
          <w:rFonts w:hint="eastAsia" w:ascii="仿宋" w:hAnsi="仿宋" w:eastAsia="仿宋" w:cs="仿宋"/>
          <w:color w:val="000000"/>
          <w:sz w:val="32"/>
          <w:szCs w:val="32"/>
        </w:rPr>
        <w:t>政府性基金预算拨款支出</w:t>
      </w:r>
      <w:r>
        <w:rPr>
          <w:rFonts w:ascii="仿宋" w:hAnsi="仿宋" w:eastAsia="仿宋" w:cs="仿宋"/>
          <w:color w:val="000000"/>
          <w:sz w:val="32"/>
          <w:u w:color="auto"/>
        </w:rPr>
        <w:t>118.35万元。</w:t>
      </w:r>
      <w:bookmarkStart w:id="60" w:name="_Toc15377219"/>
    </w:p>
    <w:p>
      <w:pPr>
        <w:pStyle w:val="3"/>
        <w:ind w:firstLine="640" w:firstLineChars="200"/>
        <w:rPr>
          <w:rFonts w:hint="eastAsia" w:ascii="黑体" w:hAnsi="黑体" w:eastAsia="黑体" w:cs="黑体"/>
          <w:b w:val="0"/>
          <w:bCs/>
          <w:color w:val="000000"/>
        </w:rPr>
      </w:pPr>
      <w:bookmarkStart w:id="61" w:name="_Toc23467"/>
      <w:bookmarkStart w:id="62" w:name="_Toc111208507"/>
      <w:r>
        <w:rPr>
          <w:rFonts w:hint="eastAsia" w:ascii="黑体" w:hAnsi="黑体" w:eastAsia="黑体" w:cs="黑体"/>
          <w:b w:val="0"/>
          <w:bCs/>
          <w:color w:val="000000"/>
        </w:rPr>
        <w:t>九、国有资本经营预算支出决算情况说明</w:t>
      </w:r>
      <w:bookmarkEnd w:id="60"/>
      <w:bookmarkEnd w:id="61"/>
      <w:bookmarkEnd w:id="62"/>
    </w:p>
    <w:p>
      <w:pPr>
        <w:spacing w:line="600" w:lineRule="exact"/>
        <w:ind w:firstLine="640"/>
        <w:rPr>
          <w:rFonts w:hint="eastAsia"/>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国有资本经营预算拨款支出</w:t>
      </w:r>
      <w:r>
        <w:rPr>
          <w:rFonts w:ascii="仿宋" w:hAnsi="仿宋" w:eastAsia="仿宋" w:cs="仿宋"/>
          <w:color w:val="000000"/>
          <w:sz w:val="32"/>
          <w:u w:color="auto"/>
        </w:rPr>
        <w:t>0.00万元。</w:t>
      </w:r>
    </w:p>
    <w:p>
      <w:pPr>
        <w:pStyle w:val="3"/>
        <w:ind w:firstLine="640" w:firstLineChars="200"/>
        <w:rPr>
          <w:rFonts w:hint="eastAsia" w:ascii="黑体" w:hAnsi="黑体" w:eastAsia="黑体" w:cs="黑体"/>
          <w:b w:val="0"/>
          <w:bCs/>
          <w:color w:val="000000"/>
        </w:rPr>
      </w:pPr>
      <w:bookmarkStart w:id="63" w:name="_Toc111208508"/>
      <w:bookmarkStart w:id="64" w:name="_Toc18455"/>
      <w:bookmarkStart w:id="65" w:name="_Toc15377221"/>
      <w:r>
        <w:rPr>
          <w:rFonts w:hint="eastAsia" w:ascii="黑体" w:hAnsi="黑体" w:eastAsia="黑体" w:cs="黑体"/>
          <w:b w:val="0"/>
          <w:bCs/>
          <w:color w:val="000000"/>
        </w:rPr>
        <w:t>十、其他重要事项的情况说明</w:t>
      </w:r>
      <w:bookmarkEnd w:id="63"/>
      <w:bookmarkEnd w:id="64"/>
      <w:bookmarkEnd w:id="65"/>
    </w:p>
    <w:p>
      <w:pPr>
        <w:spacing w:line="600" w:lineRule="exact"/>
        <w:ind w:firstLine="642" w:firstLineChars="200"/>
        <w:outlineLvl w:val="2"/>
        <w:rPr>
          <w:rFonts w:hint="eastAsia" w:ascii="仿宋" w:hAnsi="仿宋" w:eastAsia="仿宋" w:cs="仿宋"/>
          <w:b/>
          <w:color w:val="000000"/>
          <w:sz w:val="32"/>
          <w:szCs w:val="32"/>
        </w:rPr>
      </w:pPr>
      <w:bookmarkStart w:id="66" w:name="_Toc15377222"/>
      <w:r>
        <w:rPr>
          <w:rFonts w:hint="eastAsia" w:ascii="仿宋" w:hAnsi="仿宋" w:eastAsia="仿宋" w:cs="仿宋"/>
          <w:b/>
          <w:color w:val="000000"/>
          <w:sz w:val="32"/>
          <w:szCs w:val="32"/>
        </w:rPr>
        <w:t>（一）机关运行经费支出情况</w:t>
      </w:r>
      <w:bookmarkEnd w:id="66"/>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，机关运行经费支出</w:t>
      </w:r>
      <w:r>
        <w:rPr>
          <w:rFonts w:ascii="仿宋" w:hAnsi="仿宋" w:eastAsia="仿宋" w:cs="仿宋"/>
          <w:color w:val="000000"/>
          <w:sz w:val="32"/>
          <w:u w:color="auto"/>
        </w:rPr>
        <w:t xml:space="preserve">35.11万元，比2022年减少83.20万元，减少236.98 %。主要原因是分流到项目中支出。 </w:t>
      </w:r>
    </w:p>
    <w:p>
      <w:pPr>
        <w:spacing w:line="600" w:lineRule="exact"/>
        <w:ind w:firstLine="642" w:firstLineChars="200"/>
        <w:outlineLvl w:val="2"/>
        <w:rPr>
          <w:rFonts w:hint="eastAsia" w:ascii="仿宋" w:hAnsi="仿宋" w:eastAsia="仿宋" w:cs="仿宋"/>
          <w:b/>
          <w:color w:val="000000"/>
          <w:sz w:val="32"/>
          <w:szCs w:val="32"/>
        </w:rPr>
      </w:pPr>
      <w:bookmarkStart w:id="67" w:name="_Toc15377223"/>
      <w:r>
        <w:rPr>
          <w:rFonts w:hint="eastAsia" w:ascii="仿宋" w:hAnsi="仿宋" w:eastAsia="仿宋" w:cs="仿宋"/>
          <w:b/>
          <w:color w:val="000000"/>
          <w:sz w:val="32"/>
          <w:szCs w:val="32"/>
        </w:rPr>
        <w:t>（二）政府采购支出情况</w:t>
      </w:r>
      <w:bookmarkEnd w:id="67"/>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，政府采购支出总额</w:t>
      </w:r>
      <w:r>
        <w:rPr>
          <w:rFonts w:ascii="仿宋" w:hAnsi="仿宋" w:eastAsia="仿宋" w:cs="仿宋"/>
          <w:color w:val="000000"/>
          <w:sz w:val="32"/>
          <w:u w:color="auto"/>
        </w:rPr>
        <w:t>0.00万元，其中：政府采购货物支出0.00万元、政府采购工程支出0.00万元、政府采购服务支出0.00万元。授予中小企业合同金额0.00万元，</w:t>
      </w:r>
      <w:r>
        <w:rPr>
          <w:rFonts w:hint="eastAsia" w:ascii="仿宋" w:hAnsi="仿宋" w:eastAsia="仿宋" w:cs="仿宋"/>
          <w:color w:val="000000"/>
          <w:sz w:val="32"/>
          <w:szCs w:val="32"/>
          <w:lang w:val="en-US" w:eastAsia="zh-CN"/>
        </w:rPr>
        <w:t>占政府采购支出总额的</w:t>
      </w:r>
      <w:r>
        <w:rPr>
          <w:rFonts w:ascii="仿宋" w:hAnsi="仿宋" w:eastAsia="仿宋" w:cs="仿宋"/>
          <w:color w:val="000000"/>
          <w:sz w:val="32"/>
          <w:u w:color="auto"/>
        </w:rPr>
        <w:t>0.00%,</w:t>
      </w:r>
      <w:r>
        <w:rPr>
          <w:rFonts w:hint="eastAsia" w:ascii="仿宋" w:hAnsi="仿宋" w:eastAsia="仿宋" w:cs="仿宋"/>
          <w:color w:val="000000"/>
          <w:sz w:val="32"/>
          <w:szCs w:val="32"/>
        </w:rPr>
        <w:t>其中：授予小微企业合同金额</w:t>
      </w:r>
      <w:r>
        <w:rPr>
          <w:rFonts w:ascii="仿宋" w:hAnsi="仿宋" w:eastAsia="仿宋" w:cs="仿宋"/>
          <w:color w:val="000000"/>
          <w:sz w:val="32"/>
          <w:u w:color="auto"/>
        </w:rPr>
        <w:t>0.00万元，占</w:t>
      </w:r>
      <w:r>
        <w:rPr>
          <w:rFonts w:hint="eastAsia" w:ascii="仿宋" w:hAnsi="仿宋" w:eastAsia="仿宋" w:cs="仿宋"/>
          <w:color w:val="000000"/>
          <w:sz w:val="32"/>
          <w:szCs w:val="32"/>
          <w:lang w:val="en-US" w:eastAsia="zh-CN"/>
        </w:rPr>
        <w:t>政府采购支出总额</w:t>
      </w:r>
      <w:r>
        <w:rPr>
          <w:rFonts w:hint="eastAsia" w:ascii="仿宋" w:hAnsi="仿宋" w:eastAsia="仿宋" w:cs="仿宋"/>
          <w:color w:val="000000"/>
          <w:sz w:val="32"/>
          <w:szCs w:val="32"/>
        </w:rPr>
        <w:t>的</w:t>
      </w:r>
      <w:r>
        <w:rPr>
          <w:rFonts w:ascii="仿宋" w:hAnsi="仿宋" w:eastAsia="仿宋" w:cs="仿宋"/>
          <w:color w:val="000000"/>
          <w:sz w:val="32"/>
          <w:u w:color="auto"/>
        </w:rPr>
        <w:t>0.00%。</w:t>
      </w:r>
    </w:p>
    <w:p>
      <w:pPr>
        <w:spacing w:line="600" w:lineRule="exact"/>
        <w:ind w:firstLine="642" w:firstLineChars="200"/>
        <w:outlineLvl w:val="2"/>
        <w:rPr>
          <w:rFonts w:hint="eastAsia" w:ascii="仿宋" w:hAnsi="仿宋" w:eastAsia="仿宋" w:cs="仿宋"/>
          <w:b/>
          <w:color w:val="000000"/>
          <w:sz w:val="32"/>
          <w:szCs w:val="32"/>
        </w:rPr>
      </w:pPr>
      <w:bookmarkStart w:id="68" w:name="_Toc15377224"/>
      <w:r>
        <w:rPr>
          <w:rFonts w:hint="eastAsia" w:ascii="仿宋" w:hAnsi="仿宋" w:eastAsia="仿宋" w:cs="仿宋"/>
          <w:b/>
          <w:color w:val="000000"/>
          <w:sz w:val="32"/>
          <w:szCs w:val="32"/>
        </w:rPr>
        <w:t>（三）国有资产占有使用情况</w:t>
      </w:r>
      <w:bookmarkEnd w:id="68"/>
    </w:p>
    <w:p>
      <w:pPr>
        <w:spacing w:line="600" w:lineRule="exact"/>
        <w:ind w:firstLine="640"/>
        <w:rPr>
          <w:rFonts w:ascii="仿宋" w:hAnsi="仿宋" w:eastAsia="仿宋" w:cs="仿宋"/>
          <w:color w:val="000000"/>
          <w:sz w:val="32"/>
          <w:u w:color="auto"/>
        </w:rPr>
      </w:pPr>
      <w:r>
        <w:rPr>
          <w:rFonts w:hint="eastAsia" w:ascii="仿宋" w:hAnsi="仿宋" w:eastAsia="仿宋" w:cs="仿宋"/>
          <w:color w:val="000000"/>
          <w:sz w:val="32"/>
          <w:szCs w:val="32"/>
        </w:rPr>
        <w:t>截至</w:t>
      </w:r>
      <w:r>
        <w:rPr>
          <w:rFonts w:ascii="仿宋" w:hAnsi="仿宋" w:eastAsia="仿宋" w:cs="仿宋"/>
          <w:color w:val="000000"/>
          <w:sz w:val="32"/>
          <w:u w:color="auto"/>
        </w:rPr>
        <w:t>2023年12月31日，共有车辆0辆，其中：主要领导干部用车0辆、机要通信用车0辆、应急保障用车0辆、其他用车0辆。单价100万元以上专用设备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不含车辆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0</w:t>
      </w:r>
      <w:r>
        <w:rPr>
          <w:rFonts w:ascii="仿宋" w:hAnsi="仿宋" w:eastAsia="仿宋" w:cs="仿宋"/>
          <w:color w:val="000000"/>
          <w:sz w:val="32"/>
          <w:u w:color="auto"/>
        </w:rPr>
        <w:t>台（套）。</w:t>
      </w:r>
    </w:p>
    <w:p>
      <w:pPr>
        <w:pStyle w:val="15"/>
        <w:rPr>
          <w:rFonts w:ascii="仿宋" w:hAnsi="仿宋" w:eastAsia="仿宋" w:cs="仿宋"/>
          <w:color w:val="000000"/>
          <w:sz w:val="32"/>
          <w:u w:color="auto"/>
        </w:rPr>
      </w:pPr>
    </w:p>
    <w:p>
      <w:pPr>
        <w:pStyle w:val="9"/>
        <w:rPr>
          <w:rFonts w:ascii="仿宋" w:hAnsi="仿宋" w:eastAsia="仿宋" w:cs="仿宋"/>
          <w:color w:val="000000"/>
          <w:sz w:val="32"/>
          <w:u w:color="auto"/>
        </w:rPr>
      </w:pPr>
    </w:p>
    <w:p>
      <w:pPr>
        <w:pStyle w:val="9"/>
        <w:rPr>
          <w:rFonts w:ascii="仿宋" w:hAnsi="仿宋" w:eastAsia="仿宋" w:cs="仿宋"/>
          <w:color w:val="000000"/>
          <w:sz w:val="32"/>
          <w:u w:color="auto"/>
        </w:rPr>
      </w:pPr>
    </w:p>
    <w:p>
      <w:pPr>
        <w:pStyle w:val="9"/>
        <w:rPr>
          <w:rFonts w:ascii="仿宋" w:hAnsi="仿宋" w:eastAsia="仿宋" w:cs="仿宋"/>
          <w:color w:val="000000"/>
          <w:sz w:val="32"/>
          <w:u w:color="auto"/>
        </w:rPr>
      </w:pPr>
    </w:p>
    <w:p>
      <w:pPr>
        <w:pStyle w:val="9"/>
        <w:rPr>
          <w:rFonts w:ascii="仿宋" w:hAnsi="仿宋" w:eastAsia="仿宋" w:cs="仿宋"/>
          <w:color w:val="000000"/>
          <w:sz w:val="32"/>
          <w:u w:color="auto"/>
        </w:rPr>
      </w:pPr>
    </w:p>
    <w:p>
      <w:pPr>
        <w:pStyle w:val="9"/>
        <w:rPr>
          <w:rFonts w:ascii="仿宋" w:hAnsi="仿宋" w:eastAsia="仿宋" w:cs="仿宋"/>
          <w:color w:val="000000"/>
          <w:sz w:val="32"/>
          <w:u w:color="auto"/>
        </w:rPr>
      </w:pPr>
    </w:p>
    <w:p>
      <w:pPr>
        <w:pStyle w:val="9"/>
        <w:rPr>
          <w:rFonts w:ascii="仿宋" w:hAnsi="仿宋" w:eastAsia="仿宋" w:cs="仿宋"/>
          <w:color w:val="000000"/>
          <w:sz w:val="32"/>
          <w:u w:color="auto"/>
        </w:rPr>
      </w:pPr>
    </w:p>
    <w:p>
      <w:pPr>
        <w:pStyle w:val="9"/>
        <w:rPr>
          <w:rFonts w:ascii="仿宋" w:hAnsi="仿宋" w:eastAsia="仿宋" w:cs="仿宋"/>
          <w:color w:val="000000"/>
          <w:sz w:val="32"/>
          <w:u w:color="auto"/>
        </w:rPr>
      </w:pPr>
    </w:p>
    <w:p>
      <w:pPr>
        <w:pStyle w:val="9"/>
        <w:rPr>
          <w:rFonts w:ascii="仿宋" w:hAnsi="仿宋" w:eastAsia="仿宋" w:cs="仿宋"/>
          <w:color w:val="000000"/>
          <w:sz w:val="32"/>
          <w:u w:color="auto"/>
        </w:rPr>
      </w:pPr>
    </w:p>
    <w:p>
      <w:pPr>
        <w:pStyle w:val="9"/>
        <w:rPr>
          <w:rFonts w:ascii="仿宋" w:hAnsi="仿宋" w:eastAsia="仿宋" w:cs="仿宋"/>
          <w:color w:val="000000"/>
          <w:sz w:val="32"/>
          <w:u w:color="auto"/>
        </w:rPr>
      </w:pPr>
    </w:p>
    <w:p>
      <w:pPr>
        <w:pStyle w:val="9"/>
        <w:rPr>
          <w:rFonts w:ascii="仿宋" w:hAnsi="仿宋" w:eastAsia="仿宋" w:cs="仿宋"/>
          <w:color w:val="000000"/>
          <w:sz w:val="32"/>
          <w:u w:color="auto"/>
        </w:rPr>
      </w:pPr>
    </w:p>
    <w:p>
      <w:pPr>
        <w:pStyle w:val="9"/>
        <w:rPr>
          <w:rFonts w:ascii="仿宋" w:hAnsi="仿宋" w:eastAsia="仿宋" w:cs="仿宋"/>
          <w:color w:val="000000"/>
          <w:sz w:val="32"/>
          <w:u w:color="auto"/>
        </w:rPr>
      </w:pPr>
    </w:p>
    <w:p>
      <w:pPr>
        <w:pStyle w:val="9"/>
        <w:rPr>
          <w:rFonts w:hint="eastAsia" w:ascii="仿宋" w:hAnsi="仿宋" w:eastAsia="仿宋" w:cs="仿宋"/>
          <w:color w:val="000000"/>
          <w:sz w:val="32"/>
          <w:u w:color="auto"/>
        </w:rPr>
      </w:pP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 w:hAnsi="仿宋" w:eastAsia="仿宋" w:cs="仿宋"/>
          <w:sz w:val="32"/>
          <w:szCs w:val="32"/>
        </w:rPr>
        <w:t xml:space="preserve"> </w:t>
      </w: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预算编制阶段，组织对51162223T000009742993-信访工作经费</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全面开展绩效自评，形成武胜县信访局部门预算绩效评价报告</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绩效自评报告，武胜县信访局部门预算绩效评价报告</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绩效自评得分为95.97分，绩效自评综述：本部门按照县财政绩效自评</w:t>
      </w:r>
      <w:r>
        <w:rPr>
          <w:rFonts w:hint="eastAsia" w:ascii="仿宋_GB2312" w:hAnsi="仿宋_GB2312" w:eastAsia="仿宋_GB2312" w:cs="仿宋_GB2312"/>
          <w:b w:val="0"/>
          <w:bCs w:val="0"/>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文件要求，从履职效能、预算管理、财务管理、资产管理、采购管理、项目决策、项目执行、目标实现等方面进行自评，总体上看，本部门履职效果明显、预算管理较完善、项目绩效目标按计划完成，根据《部门预算绩效评价指标体系》进行评价，自评得95.97分。绩效自评报告和部门预算项目支出绩效自评表（2023年度）详见附件。</w:t>
      </w:r>
    </w:p>
    <w:p>
      <w:pPr>
        <w:widowControl/>
        <w:jc w:val="left"/>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pPr>
        <w:pStyle w:val="2"/>
        <w:jc w:val="center"/>
        <w:rPr>
          <w:rFonts w:hint="eastAsia" w:ascii="黑体" w:hAnsi="黑体" w:eastAsia="黑体" w:cs="黑体"/>
          <w:b w:val="0"/>
          <w:bCs w:val="0"/>
        </w:rPr>
      </w:pPr>
      <w:bookmarkStart w:id="69" w:name="_Toc18122"/>
      <w:bookmarkStart w:id="70" w:name="_Toc111208509"/>
      <w:bookmarkStart w:id="71" w:name="_Toc15377225"/>
      <w:r>
        <w:rPr>
          <w:rFonts w:hint="eastAsia" w:ascii="黑体" w:hAnsi="黑体" w:eastAsia="黑体" w:cs="黑体"/>
          <w:b w:val="0"/>
          <w:bCs w:val="0"/>
        </w:rPr>
        <w:t>第三部分 名词解释</w:t>
      </w:r>
      <w:bookmarkEnd w:id="69"/>
      <w:bookmarkEnd w:id="70"/>
      <w:bookmarkEnd w:id="71"/>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1.财政拨款收入：指单位从同级财政部门取得的财政预算资金。</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2.事业收入：指事业单位开展专业业务活动及辅助活动取得的收入。</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3.经营收入：指事业单位在专业业务活动及其辅助活动之外开展非独立核算经营活动取得的收入</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4.其他收入：指单位取得的除上述收入以外的各项收入。</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5.使用非财政拨款结余（含专用结余）：指事业单位使用以前年度积累的非财政拨款结余弥补当年收支差额的金额。 </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6.年初结转和结余：指以前年度尚未完成、结转到本年按有关规定继续使用的资金。 </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7.结余分配：指事业单位按照会计制度规定缴纳的所得税、提取的专用结余以及转入非财政拨款结余的金额等。</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8.年末结转和结余：指单位按有关规定结转到下年或以后年度继续使用的资金。</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9.一般公共服务支出（类）政府办公厅（室）及相关机构事务（款）行政运行（项）:反映行政单位（包括实行公务员管理的事业单位）的基本支出。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10.一般公共服务支出（类）政府办公厅（室）及相关机构事务（款）一般行政管理事务（项）:反映行政单位（包括实行公务员管理的事业单位）未单独设置项级科目的其他项目支出。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11.一般公共服务支出（类）政府办公厅（室）及相关机构事务（款）事业运行（项）:反映事业单位的基本支出，不包括行政单位（包括实行公务员管理的事业单位）后勤服务中心、医务室等附属事业单位。</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12.社会保障和就业支出（类）行政事业单位养老支出（款）行政单位离退休（项）:反映行政单位（包括实行公务员管理的事业单位）开支的离退休经费。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13.社会保障和就业支出（类）行政事业单位养老支出（款）事业单位离退休（项）:反映事业单位开支的离退休经费。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14.社会保障和就业支出（类）行政事业单位养老支出（款）机关事业单位基本养老保险缴费支出（项）:反映机关事业单位实施养老保险制度由单位缴纳的基本养老保险费支出。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15.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16.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17.卫生健康支出（类）行政事业单位医疗（款）公务员医疗补助（项）:反映财政部门安排的公务员医疗补助经费。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18.农林水支出（类）农业农村（款）其他农业农村支出（项）:反映除上述项以外其他用于农业农村方面的支出。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19.住房保障支出（类）住房改革支出（款）住房公积金（项）:反映行政事业单位按人力资源和社会保障部、财政部规定的基本工资和津贴补贴以及规定比例为职工缴纳的住房公积金。</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ascii="仿宋" w:hAnsi="仿宋" w:eastAsia="仿宋" w:cs="仿宋"/>
          <w:color w:val="000000"/>
          <w:sz w:val="32"/>
          <w:u w:color="auto"/>
        </w:rPr>
        <w:t>.基本支出：指为保障机构正常运转、完成日常工作任务而发生的人员支出和公用支出。</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21</w:t>
      </w:r>
      <w:r>
        <w:rPr>
          <w:rFonts w:ascii="仿宋" w:hAnsi="仿宋" w:eastAsia="仿宋" w:cs="仿宋"/>
          <w:color w:val="000000"/>
          <w:sz w:val="32"/>
          <w:u w:color="auto"/>
        </w:rPr>
        <w:t xml:space="preserve">.项目支出：指在基本支出之外为完成特定行政任务和事业发展目标所发生的支出。 </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22</w:t>
      </w:r>
      <w:r>
        <w:rPr>
          <w:rFonts w:ascii="仿宋" w:hAnsi="仿宋" w:eastAsia="仿宋" w:cs="仿宋"/>
          <w:color w:val="000000"/>
          <w:sz w:val="32"/>
          <w:u w:color="auto"/>
        </w:rPr>
        <w:t>.经营支出：指事业单位在专业业务活动及其辅助活动之外开展非独立核算经营活动发生的支出。</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23</w:t>
      </w:r>
      <w:r>
        <w:rPr>
          <w:rFonts w:ascii="仿宋" w:hAnsi="仿宋" w:eastAsia="仿宋" w:cs="仿宋"/>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24</w:t>
      </w:r>
      <w:r>
        <w:rPr>
          <w:rFonts w:ascii="仿宋" w:hAnsi="仿宋" w:eastAsia="仿宋" w:cs="仿宋"/>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仿宋" w:hAnsi="仿宋" w:eastAsia="仿宋" w:cs="仿宋"/>
          <w:sz w:val="32"/>
          <w:szCs w:val="32"/>
        </w:rPr>
      </w:pPr>
      <w:r>
        <w:rPr>
          <w:rFonts w:hint="eastAsia" w:ascii="仿宋" w:hAnsi="仿宋" w:eastAsia="仿宋" w:cs="仿宋"/>
          <w:color w:val="000000"/>
          <w:sz w:val="32"/>
          <w:szCs w:val="32"/>
        </w:rPr>
        <w:t>25</w:t>
      </w:r>
      <w:r>
        <w:rPr>
          <w:rFonts w:ascii="仿宋" w:hAnsi="仿宋" w:eastAsia="仿宋" w:cs="仿宋"/>
          <w:color w:val="000000"/>
          <w:sz w:val="32"/>
          <w:u w:color="auto"/>
        </w:rPr>
        <w:t>.财政应返还额度：为行政事业单位会计核算科目，用于核算实行国库集中支付的行政事业单位应收财政返还的资金额度。</w:t>
      </w:r>
    </w:p>
    <w:p>
      <w:pPr>
        <w:widowControl/>
        <w:jc w:val="left"/>
        <w:rPr>
          <w:rStyle w:val="33"/>
          <w:rFonts w:hint="eastAsia" w:ascii="思源黑体 CN Normal" w:hAnsi="思源黑体 CN Normal" w:eastAsia="思源黑体 CN Normal" w:cs="思源黑体 CN Normal"/>
        </w:rPr>
      </w:pPr>
      <w:r>
        <w:rPr>
          <w:rStyle w:val="33"/>
          <w:rFonts w:hint="eastAsia" w:ascii="思源黑体 CN Normal" w:hAnsi="思源黑体 CN Normal" w:eastAsia="思源黑体 CN Normal" w:cs="思源黑体 CN Normal"/>
        </w:rPr>
        <w:br w:type="page"/>
      </w:r>
    </w:p>
    <w:p>
      <w:pPr>
        <w:pStyle w:val="2"/>
        <w:jc w:val="center"/>
        <w:rPr>
          <w:rFonts w:hint="eastAsia" w:ascii="黑体" w:hAnsi="黑体" w:eastAsia="黑体" w:cs="黑体"/>
          <w:b w:val="0"/>
          <w:bCs w:val="0"/>
        </w:rPr>
      </w:pPr>
      <w:bookmarkStart w:id="72" w:name="_Toc25539"/>
      <w:bookmarkStart w:id="73" w:name="_Toc111208510"/>
      <w:r>
        <w:rPr>
          <w:rFonts w:hint="eastAsia" w:ascii="黑体" w:hAnsi="黑体" w:eastAsia="黑体" w:cs="黑体"/>
          <w:b w:val="0"/>
          <w:bCs w:val="0"/>
        </w:rPr>
        <w:t>第四部分 附件</w:t>
      </w:r>
      <w:bookmarkEnd w:id="72"/>
      <w:bookmarkEnd w:id="73"/>
    </w:p>
    <w:p>
      <w:pPr>
        <w:bidi w:val="0"/>
        <w:rPr>
          <w:rFonts w:hint="eastAsia"/>
          <w:b/>
          <w:bCs/>
          <w:sz w:val="28"/>
          <w:szCs w:val="28"/>
          <w:lang w:val="en-US" w:eastAsia="zh-CN"/>
        </w:rPr>
      </w:pPr>
      <w:r>
        <w:rPr>
          <w:rFonts w:hint="eastAsia"/>
          <w:b/>
          <w:bCs/>
          <w:sz w:val="28"/>
          <w:szCs w:val="28"/>
        </w:rPr>
        <w:t xml:space="preserve"> 附件</w:t>
      </w:r>
      <w:r>
        <w:rPr>
          <w:rFonts w:hint="eastAsia"/>
          <w:b/>
          <w:bCs/>
          <w:sz w:val="28"/>
          <w:szCs w:val="28"/>
          <w:lang w:val="en-US" w:eastAsia="zh-CN"/>
        </w:rPr>
        <w:t>1</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武胜县信访局</w:t>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outlineLvl w:val="9"/>
        <w:rPr>
          <w:rFonts w:hint="default" w:ascii="Times New Roman" w:hAnsi="Times New Roman" w:eastAsia="方正仿宋_GBK" w:cs="Times New Roman"/>
          <w:b w:val="0"/>
          <w:bCs/>
          <w:sz w:val="33"/>
          <w:szCs w:val="44"/>
          <w:highlight w:val="none"/>
          <w:shd w:val="clear" w:color="auto" w:fill="FFFFFF"/>
        </w:rPr>
      </w:pPr>
      <w:r>
        <w:rPr>
          <w:rFonts w:hint="default" w:ascii="Times New Roman" w:hAnsi="Times New Roman" w:eastAsia="方正小标宋_GBK" w:cs="Times New Roman"/>
          <w:b w:val="0"/>
          <w:bCs/>
          <w:sz w:val="44"/>
          <w:szCs w:val="44"/>
          <w:highlight w:val="none"/>
          <w:shd w:val="clear" w:color="auto" w:fill="FFFFFF"/>
        </w:rPr>
        <w:t>部门</w:t>
      </w:r>
      <w:r>
        <w:rPr>
          <w:rFonts w:hint="default" w:ascii="Times New Roman" w:hAnsi="Times New Roman" w:eastAsia="方正小标宋_GBK" w:cs="Times New Roman"/>
          <w:b w:val="0"/>
          <w:bCs/>
          <w:sz w:val="44"/>
          <w:szCs w:val="44"/>
          <w:highlight w:val="none"/>
          <w:shd w:val="clear" w:color="auto" w:fill="FFFFFF"/>
          <w:lang w:eastAsia="zh-CN"/>
        </w:rPr>
        <w:t>预算</w:t>
      </w:r>
      <w:r>
        <w:rPr>
          <w:rFonts w:hint="default" w:ascii="Times New Roman" w:hAnsi="Times New Roman" w:eastAsia="方正小标宋_GBK" w:cs="Times New Roman"/>
          <w:b w:val="0"/>
          <w:bCs/>
          <w:sz w:val="44"/>
          <w:szCs w:val="44"/>
          <w:highlight w:val="none"/>
          <w:shd w:val="clear" w:color="auto" w:fill="FFFFFF"/>
        </w:rPr>
        <w:t>绩效</w:t>
      </w:r>
      <w:r>
        <w:rPr>
          <w:rFonts w:hint="eastAsia" w:ascii="Times New Roman" w:hAnsi="Times New Roman" w:eastAsia="方正小标宋_GBK" w:cs="Times New Roman"/>
          <w:b w:val="0"/>
          <w:bCs/>
          <w:sz w:val="44"/>
          <w:szCs w:val="44"/>
          <w:highlight w:val="none"/>
          <w:shd w:val="clear" w:color="auto" w:fill="FFFFFF"/>
          <w:lang w:eastAsia="zh-CN"/>
        </w:rPr>
        <w:t>评价</w:t>
      </w:r>
      <w:r>
        <w:rPr>
          <w:rFonts w:hint="default" w:ascii="Times New Roman" w:hAnsi="Times New Roman" w:eastAsia="方正小标宋_GBK" w:cs="Times New Roman"/>
          <w:b w:val="0"/>
          <w:bCs/>
          <w:sz w:val="44"/>
          <w:szCs w:val="44"/>
          <w:highlight w:val="none"/>
          <w:shd w:val="clear" w:color="auto" w:fill="FFFFFF"/>
        </w:rPr>
        <w:t>报告</w:t>
      </w:r>
    </w:p>
    <w:p>
      <w:pPr>
        <w:rPr>
          <w:rFonts w:hint="eastAsia"/>
          <w:sz w:val="33"/>
          <w:szCs w:val="33"/>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sz w:val="33"/>
          <w:szCs w:val="32"/>
        </w:rPr>
      </w:pPr>
      <w:r>
        <w:rPr>
          <w:rFonts w:hint="eastAsia" w:ascii="方正黑体_GBK" w:hAnsi="方正黑体_GBK" w:eastAsia="方正黑体_GBK" w:cs="方正黑体_GBK"/>
          <w:color w:val="000000"/>
          <w:kern w:val="0"/>
          <w:sz w:val="33"/>
          <w:szCs w:val="32"/>
          <w:highlight w:val="none"/>
          <w:shd w:val="clear" w:color="auto" w:fill="FFFFFF"/>
          <w:lang w:val="zh-CN"/>
        </w:rPr>
        <w:t>一、部门（单位）基本情况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方正楷体_GBK" w:cs="Times New Roman"/>
          <w:b/>
          <w:bCs/>
          <w:color w:val="000000"/>
          <w:kern w:val="0"/>
          <w:sz w:val="33"/>
          <w:szCs w:val="32"/>
          <w:highlight w:val="none"/>
          <w:shd w:val="clear" w:color="auto" w:fill="FFFFFF"/>
          <w:lang w:val="zh-CN"/>
        </w:rPr>
      </w:pPr>
      <w:r>
        <w:rPr>
          <w:rFonts w:hint="eastAsia" w:ascii="Times New Roman" w:hAnsi="Times New Roman" w:eastAsia="方正楷体_GBK" w:cs="Times New Roman"/>
          <w:b/>
          <w:bCs/>
          <w:color w:val="000000"/>
          <w:kern w:val="0"/>
          <w:sz w:val="33"/>
          <w:szCs w:val="32"/>
          <w:highlight w:val="none"/>
          <w:shd w:val="clear" w:color="auto" w:fill="FFFFFF"/>
          <w:lang w:val="zh-CN"/>
        </w:rPr>
        <w:t>（一）</w:t>
      </w:r>
      <w:r>
        <w:rPr>
          <w:rFonts w:hint="default" w:ascii="Times New Roman" w:hAnsi="Times New Roman" w:eastAsia="方正楷体_GBK" w:cs="Times New Roman"/>
          <w:b/>
          <w:bCs/>
          <w:color w:val="000000"/>
          <w:kern w:val="0"/>
          <w:sz w:val="33"/>
          <w:szCs w:val="32"/>
          <w:highlight w:val="none"/>
          <w:shd w:val="clear" w:color="auto" w:fill="FFFFFF"/>
          <w:lang w:val="zh-CN"/>
        </w:rPr>
        <w:t>机构组成。</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eastAsia="方正仿宋_GBK" w:cs="仿宋_GB2312"/>
          <w:color w:val="000000"/>
          <w:kern w:val="0"/>
          <w:sz w:val="33"/>
          <w:szCs w:val="32"/>
          <w:highlight w:val="none"/>
          <w:shd w:val="clear" w:color="auto" w:fill="FFFFFF"/>
          <w:lang w:val="en-US" w:eastAsia="zh-CN"/>
        </w:rPr>
      </w:pPr>
      <w:r>
        <w:rPr>
          <w:rFonts w:hint="eastAsia" w:ascii="Times New Roman" w:hAnsi="Times New Roman" w:eastAsia="方正仿宋_GBK" w:cs="仿宋_GB2312"/>
          <w:color w:val="000000"/>
          <w:kern w:val="0"/>
          <w:sz w:val="33"/>
          <w:szCs w:val="32"/>
          <w:highlight w:val="none"/>
          <w:shd w:val="clear" w:color="auto" w:fill="FFFFFF"/>
          <w:lang w:val="zh-CN"/>
        </w:rPr>
        <w:t>武胜县</w:t>
      </w:r>
      <w:r>
        <w:rPr>
          <w:rFonts w:hint="eastAsia" w:eastAsia="方正仿宋_GBK" w:cs="仿宋_GB2312"/>
          <w:color w:val="000000"/>
          <w:kern w:val="0"/>
          <w:sz w:val="33"/>
          <w:szCs w:val="32"/>
          <w:highlight w:val="none"/>
          <w:shd w:val="clear" w:color="auto" w:fill="FFFFFF"/>
          <w:lang w:val="zh-CN"/>
        </w:rPr>
        <w:t>信访局（简称县信访局）是县人民政府工作部门，为正科级，单位内设</w:t>
      </w:r>
      <w:r>
        <w:rPr>
          <w:rFonts w:hint="eastAsia" w:eastAsia="方正仿宋_GBK" w:cs="仿宋_GB2312"/>
          <w:color w:val="000000"/>
          <w:kern w:val="0"/>
          <w:sz w:val="33"/>
          <w:szCs w:val="32"/>
          <w:highlight w:val="none"/>
          <w:shd w:val="clear" w:color="auto" w:fill="FFFFFF"/>
          <w:lang w:val="en-US" w:eastAsia="zh-CN"/>
        </w:rPr>
        <w:t>5个科室，主要包括：办公室、接访股（增挂群众来访接待中心牌子）、网络办信股、督查督办股、复查复核股。</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eastAsia" w:ascii="Times New Roman" w:hAnsi="Times New Roman" w:eastAsia="方正楷体_GBK" w:cs="Times New Roman"/>
          <w:b/>
          <w:bCs/>
          <w:color w:val="000000"/>
          <w:kern w:val="0"/>
          <w:sz w:val="33"/>
          <w:szCs w:val="32"/>
          <w:highlight w:val="none"/>
          <w:shd w:val="clear" w:color="auto" w:fill="FFFFFF"/>
          <w:lang w:val="zh-CN"/>
        </w:rPr>
      </w:pPr>
      <w:r>
        <w:rPr>
          <w:rFonts w:hint="eastAsia" w:eastAsia="方正楷体_GBK" w:cs="Times New Roman"/>
          <w:b/>
          <w:bCs/>
          <w:color w:val="000000"/>
          <w:kern w:val="0"/>
          <w:sz w:val="33"/>
          <w:szCs w:val="32"/>
          <w:highlight w:val="none"/>
          <w:shd w:val="clear" w:color="auto" w:fill="FFFFFF"/>
          <w:lang w:val="zh-CN"/>
        </w:rPr>
        <w:t>（二）</w:t>
      </w:r>
      <w:r>
        <w:rPr>
          <w:rFonts w:hint="default" w:ascii="Times New Roman" w:hAnsi="Times New Roman" w:eastAsia="方正楷体_GBK" w:cs="Times New Roman"/>
          <w:b/>
          <w:bCs/>
          <w:color w:val="000000"/>
          <w:kern w:val="0"/>
          <w:sz w:val="33"/>
          <w:szCs w:val="32"/>
          <w:highlight w:val="none"/>
          <w:shd w:val="clear" w:color="auto" w:fill="FFFFFF"/>
          <w:lang w:val="zh-CN"/>
        </w:rPr>
        <w:t>机构职能</w:t>
      </w:r>
      <w:r>
        <w:rPr>
          <w:rFonts w:hint="eastAsia" w:ascii="Times New Roman" w:hAnsi="Times New Roman" w:eastAsia="方正楷体_GBK" w:cs="Times New Roman"/>
          <w:b/>
          <w:bCs/>
          <w:color w:val="000000"/>
          <w:kern w:val="0"/>
          <w:sz w:val="33"/>
          <w:szCs w:val="32"/>
          <w:highlight w:val="none"/>
          <w:shd w:val="clear" w:color="auto" w:fill="FFFFFF"/>
          <w:lang w:val="zh-CN"/>
        </w:rPr>
        <w:t>。</w:t>
      </w:r>
    </w:p>
    <w:p>
      <w:pPr>
        <w:keepNext w:val="0"/>
        <w:keepLines w:val="0"/>
        <w:pageBreakBefore w:val="0"/>
        <w:kinsoku/>
        <w:wordWrap/>
        <w:overflowPunct/>
        <w:topLinePunct w:val="0"/>
        <w:autoSpaceDE w:val="0"/>
        <w:autoSpaceDN/>
        <w:bidi w:val="0"/>
        <w:spacing w:line="590" w:lineRule="exact"/>
        <w:ind w:firstLine="660" w:firstLineChars="200"/>
        <w:textAlignment w:val="auto"/>
        <w:rPr>
          <w:rFonts w:ascii="Times New Roman" w:hAnsi="Times New Roman" w:eastAsia="方正仿宋_GBK"/>
          <w:kern w:val="0"/>
          <w:sz w:val="33"/>
          <w:szCs w:val="33"/>
        </w:rPr>
      </w:pPr>
      <w:r>
        <w:rPr>
          <w:rFonts w:hint="eastAsia" w:ascii="Times New Roman" w:hAnsi="Times New Roman" w:eastAsia="方正仿宋_GBK"/>
          <w:kern w:val="0"/>
          <w:sz w:val="33"/>
          <w:szCs w:val="33"/>
          <w:lang w:val="en-US" w:eastAsia="zh-CN"/>
        </w:rPr>
        <w:t>1.</w:t>
      </w:r>
      <w:r>
        <w:rPr>
          <w:rFonts w:hint="eastAsia" w:ascii="Times New Roman" w:hAnsi="Times New Roman" w:eastAsia="方正仿宋_GBK"/>
          <w:kern w:val="0"/>
          <w:sz w:val="33"/>
          <w:szCs w:val="33"/>
        </w:rPr>
        <w:t>贯彻执行党和国家关于信访工作的方针、政策、法律、法规以及</w:t>
      </w:r>
      <w:r>
        <w:rPr>
          <w:rFonts w:hint="eastAsia" w:eastAsia="方正仿宋_GBK"/>
          <w:kern w:val="0"/>
          <w:sz w:val="33"/>
          <w:szCs w:val="33"/>
          <w:lang w:eastAsia="zh-CN"/>
        </w:rPr>
        <w:t>省委、省政府</w:t>
      </w:r>
      <w:r>
        <w:rPr>
          <w:rFonts w:hint="eastAsia" w:ascii="Times New Roman" w:hAnsi="Times New Roman" w:eastAsia="方正仿宋_GBK"/>
          <w:kern w:val="0"/>
          <w:sz w:val="33"/>
          <w:szCs w:val="33"/>
        </w:rPr>
        <w:t>、</w:t>
      </w:r>
      <w:r>
        <w:rPr>
          <w:rFonts w:hint="eastAsia" w:eastAsia="方正仿宋_GBK"/>
          <w:kern w:val="0"/>
          <w:sz w:val="33"/>
          <w:szCs w:val="33"/>
          <w:lang w:eastAsia="zh-CN"/>
        </w:rPr>
        <w:t>市委、市政府</w:t>
      </w:r>
      <w:r>
        <w:rPr>
          <w:rFonts w:hint="eastAsia" w:ascii="Times New Roman" w:hAnsi="Times New Roman" w:eastAsia="方正仿宋_GBK"/>
          <w:kern w:val="0"/>
          <w:sz w:val="33"/>
          <w:szCs w:val="33"/>
        </w:rPr>
        <w:t>和</w:t>
      </w:r>
      <w:r>
        <w:rPr>
          <w:rFonts w:hint="eastAsia" w:eastAsia="方正仿宋_GBK"/>
          <w:kern w:val="0"/>
          <w:sz w:val="33"/>
          <w:szCs w:val="33"/>
          <w:lang w:eastAsia="zh-CN"/>
        </w:rPr>
        <w:t>县委、县政府</w:t>
      </w:r>
      <w:r>
        <w:rPr>
          <w:rFonts w:hint="eastAsia" w:ascii="Times New Roman" w:hAnsi="Times New Roman" w:eastAsia="方正仿宋_GBK"/>
          <w:kern w:val="0"/>
          <w:sz w:val="33"/>
          <w:szCs w:val="33"/>
        </w:rPr>
        <w:t>的决策部署；制定信访问题排查化解、风险评估等制度并组织实施，提出改进和加强信访工作的意见和建议，推动信访责任制的实施，负责本系统、本部门依法行政工作。</w:t>
      </w:r>
    </w:p>
    <w:p>
      <w:pPr>
        <w:keepNext w:val="0"/>
        <w:keepLines w:val="0"/>
        <w:pageBreakBefore w:val="0"/>
        <w:kinsoku/>
        <w:wordWrap/>
        <w:overflowPunct/>
        <w:topLinePunct w:val="0"/>
        <w:autoSpaceDE w:val="0"/>
        <w:autoSpaceDN/>
        <w:bidi w:val="0"/>
        <w:spacing w:line="590" w:lineRule="exact"/>
        <w:ind w:firstLine="660" w:firstLineChars="200"/>
        <w:textAlignment w:val="auto"/>
        <w:rPr>
          <w:rFonts w:ascii="Times New Roman" w:hAnsi="Times New Roman" w:eastAsia="方正仿宋_GBK"/>
          <w:kern w:val="0"/>
          <w:sz w:val="33"/>
          <w:szCs w:val="33"/>
        </w:rPr>
      </w:pPr>
      <w:r>
        <w:rPr>
          <w:rFonts w:hint="eastAsia" w:ascii="Times New Roman" w:hAnsi="Times New Roman" w:eastAsia="方正仿宋_GBK"/>
          <w:kern w:val="0"/>
          <w:sz w:val="33"/>
          <w:szCs w:val="33"/>
          <w:lang w:val="en-US" w:eastAsia="zh-CN"/>
        </w:rPr>
        <w:t>2.</w:t>
      </w:r>
      <w:r>
        <w:rPr>
          <w:rFonts w:hint="eastAsia" w:ascii="Times New Roman" w:hAnsi="Times New Roman" w:eastAsia="方正仿宋_GBK"/>
          <w:kern w:val="0"/>
          <w:sz w:val="33"/>
          <w:szCs w:val="33"/>
        </w:rPr>
        <w:t>负责向县委、县政府反映群众来信来电来访中提出的重要建议、意见和问题，综合研判信访信息，开展调查研究，提出制定修改完善有关法规政策的建议。</w:t>
      </w:r>
    </w:p>
    <w:p>
      <w:pPr>
        <w:keepNext w:val="0"/>
        <w:keepLines w:val="0"/>
        <w:pageBreakBefore w:val="0"/>
        <w:kinsoku/>
        <w:wordWrap/>
        <w:overflowPunct/>
        <w:topLinePunct w:val="0"/>
        <w:autoSpaceDE w:val="0"/>
        <w:autoSpaceDN/>
        <w:bidi w:val="0"/>
        <w:spacing w:line="590" w:lineRule="exact"/>
        <w:ind w:firstLine="660" w:firstLineChars="200"/>
        <w:textAlignment w:val="auto"/>
        <w:rPr>
          <w:rFonts w:ascii="Times New Roman" w:hAnsi="Times New Roman" w:eastAsia="方正仿宋_GBK"/>
          <w:kern w:val="0"/>
          <w:sz w:val="33"/>
          <w:szCs w:val="33"/>
        </w:rPr>
      </w:pPr>
      <w:r>
        <w:rPr>
          <w:rFonts w:hint="eastAsia" w:ascii="Times New Roman" w:hAnsi="Times New Roman" w:eastAsia="方正仿宋_GBK"/>
          <w:kern w:val="0"/>
          <w:sz w:val="33"/>
          <w:szCs w:val="33"/>
          <w:lang w:val="en-US" w:eastAsia="zh-CN"/>
        </w:rPr>
        <w:t>3.</w:t>
      </w:r>
      <w:r>
        <w:rPr>
          <w:rFonts w:hint="eastAsia" w:ascii="Times New Roman" w:hAnsi="Times New Roman" w:eastAsia="方正仿宋_GBK"/>
          <w:kern w:val="0"/>
          <w:sz w:val="33"/>
          <w:szCs w:val="33"/>
        </w:rPr>
        <w:t>综合协调、督促检查指导全县信访工作，总结推广各地各部门信访工作经验，统筹协调信访工作宣传和信息发布。</w:t>
      </w:r>
    </w:p>
    <w:p>
      <w:pPr>
        <w:keepNext w:val="0"/>
        <w:keepLines w:val="0"/>
        <w:pageBreakBefore w:val="0"/>
        <w:kinsoku/>
        <w:wordWrap/>
        <w:overflowPunct/>
        <w:topLinePunct w:val="0"/>
        <w:autoSpaceDE w:val="0"/>
        <w:autoSpaceDN/>
        <w:bidi w:val="0"/>
        <w:spacing w:line="590" w:lineRule="exact"/>
        <w:ind w:firstLine="660" w:firstLineChars="200"/>
        <w:textAlignment w:val="auto"/>
        <w:rPr>
          <w:rFonts w:ascii="Times New Roman" w:hAnsi="Times New Roman" w:eastAsia="方正仿宋_GBK"/>
          <w:kern w:val="0"/>
          <w:sz w:val="33"/>
          <w:szCs w:val="33"/>
        </w:rPr>
      </w:pPr>
      <w:r>
        <w:rPr>
          <w:rFonts w:hint="eastAsia" w:ascii="Times New Roman" w:hAnsi="Times New Roman" w:eastAsia="方正仿宋_GBK"/>
          <w:kern w:val="0"/>
          <w:sz w:val="33"/>
          <w:szCs w:val="33"/>
          <w:lang w:val="en-US" w:eastAsia="zh-CN"/>
        </w:rPr>
        <w:t>4.</w:t>
      </w:r>
      <w:r>
        <w:rPr>
          <w:rFonts w:hint="eastAsia" w:ascii="Times New Roman" w:hAnsi="Times New Roman" w:eastAsia="方正仿宋_GBK"/>
          <w:kern w:val="0"/>
          <w:sz w:val="33"/>
          <w:szCs w:val="33"/>
        </w:rPr>
        <w:t>负责处理县内外群众、境外人士、法人及其他组织通过信访渠道给县委、县政府及领导同志的来信、来电，接待群众来访。</w:t>
      </w:r>
    </w:p>
    <w:p>
      <w:pPr>
        <w:keepNext w:val="0"/>
        <w:keepLines w:val="0"/>
        <w:pageBreakBefore w:val="0"/>
        <w:kinsoku/>
        <w:wordWrap/>
        <w:overflowPunct/>
        <w:topLinePunct w:val="0"/>
        <w:autoSpaceDE w:val="0"/>
        <w:autoSpaceDN/>
        <w:bidi w:val="0"/>
        <w:spacing w:line="590" w:lineRule="exact"/>
        <w:ind w:firstLine="660" w:firstLineChars="200"/>
        <w:textAlignment w:val="auto"/>
        <w:rPr>
          <w:rFonts w:ascii="Times New Roman" w:hAnsi="Times New Roman" w:eastAsia="方正仿宋_GBK"/>
          <w:kern w:val="0"/>
          <w:sz w:val="33"/>
          <w:szCs w:val="33"/>
        </w:rPr>
      </w:pPr>
      <w:r>
        <w:rPr>
          <w:rFonts w:hint="eastAsia" w:ascii="Times New Roman" w:hAnsi="Times New Roman" w:eastAsia="方正仿宋_GBK"/>
          <w:kern w:val="0"/>
          <w:sz w:val="33"/>
          <w:szCs w:val="33"/>
          <w:lang w:val="en-US" w:eastAsia="zh-CN"/>
        </w:rPr>
        <w:t>5.</w:t>
      </w:r>
      <w:r>
        <w:rPr>
          <w:rFonts w:hint="eastAsia" w:ascii="Times New Roman" w:hAnsi="Times New Roman" w:eastAsia="方正仿宋_GBK"/>
          <w:kern w:val="0"/>
          <w:sz w:val="33"/>
          <w:szCs w:val="33"/>
        </w:rPr>
        <w:t>承担协调处理群众进京到省、到广安</w:t>
      </w:r>
      <w:r>
        <w:rPr>
          <w:rFonts w:hint="eastAsia" w:eastAsia="方正仿宋_GBK"/>
          <w:kern w:val="0"/>
          <w:sz w:val="33"/>
          <w:szCs w:val="33"/>
          <w:lang w:eastAsia="zh-CN"/>
        </w:rPr>
        <w:t>市委、市政府</w:t>
      </w:r>
      <w:r>
        <w:rPr>
          <w:rFonts w:hint="eastAsia" w:ascii="Times New Roman" w:hAnsi="Times New Roman" w:eastAsia="方正仿宋_GBK"/>
          <w:kern w:val="0"/>
          <w:sz w:val="33"/>
          <w:szCs w:val="33"/>
        </w:rPr>
        <w:t>及武胜</w:t>
      </w:r>
      <w:r>
        <w:rPr>
          <w:rFonts w:hint="eastAsia" w:eastAsia="方正仿宋_GBK"/>
          <w:kern w:val="0"/>
          <w:sz w:val="33"/>
          <w:szCs w:val="33"/>
          <w:lang w:eastAsia="zh-CN"/>
        </w:rPr>
        <w:t>县委、县政府</w:t>
      </w:r>
      <w:r>
        <w:rPr>
          <w:rFonts w:hint="eastAsia" w:ascii="Times New Roman" w:hAnsi="Times New Roman" w:eastAsia="方正仿宋_GBK"/>
          <w:kern w:val="0"/>
          <w:sz w:val="33"/>
          <w:szCs w:val="33"/>
        </w:rPr>
        <w:t>集体上访和非接待场所上访的责任；综合协调处理跨地区、跨部门的重要信访问题。</w:t>
      </w:r>
    </w:p>
    <w:p>
      <w:pPr>
        <w:keepNext w:val="0"/>
        <w:keepLines w:val="0"/>
        <w:pageBreakBefore w:val="0"/>
        <w:kinsoku/>
        <w:wordWrap/>
        <w:overflowPunct/>
        <w:topLinePunct w:val="0"/>
        <w:autoSpaceDE w:val="0"/>
        <w:autoSpaceDN/>
        <w:bidi w:val="0"/>
        <w:spacing w:line="590" w:lineRule="exact"/>
        <w:ind w:firstLine="660" w:firstLineChars="200"/>
        <w:textAlignment w:val="auto"/>
        <w:rPr>
          <w:rFonts w:ascii="Times New Roman" w:hAnsi="Times New Roman" w:eastAsia="方正仿宋_GBK"/>
          <w:kern w:val="0"/>
          <w:sz w:val="33"/>
          <w:szCs w:val="33"/>
        </w:rPr>
      </w:pPr>
      <w:r>
        <w:rPr>
          <w:rFonts w:hint="eastAsia" w:ascii="Times New Roman" w:hAnsi="Times New Roman" w:eastAsia="方正仿宋_GBK"/>
          <w:kern w:val="0"/>
          <w:sz w:val="33"/>
          <w:szCs w:val="33"/>
          <w:lang w:val="en-US" w:eastAsia="zh-CN"/>
        </w:rPr>
        <w:t>6.</w:t>
      </w:r>
      <w:r>
        <w:rPr>
          <w:rFonts w:hint="eastAsia" w:ascii="Times New Roman" w:hAnsi="Times New Roman" w:eastAsia="方正仿宋_GBK"/>
          <w:kern w:val="0"/>
          <w:sz w:val="33"/>
          <w:szCs w:val="33"/>
        </w:rPr>
        <w:t>负责落实党中央、国务院、省委、省政府、广安市委、广安市政府和武胜县委、武胜县政府领导同志批示交办信访事项，向县级各部门（单位）、各乡镇转办、交办信访事项，负责督促检查重要信访事项的处理和落实。</w:t>
      </w:r>
    </w:p>
    <w:p>
      <w:pPr>
        <w:keepNext w:val="0"/>
        <w:keepLines w:val="0"/>
        <w:pageBreakBefore w:val="0"/>
        <w:kinsoku/>
        <w:wordWrap/>
        <w:overflowPunct/>
        <w:topLinePunct w:val="0"/>
        <w:autoSpaceDE w:val="0"/>
        <w:autoSpaceDN/>
        <w:bidi w:val="0"/>
        <w:spacing w:line="590" w:lineRule="exact"/>
        <w:ind w:firstLine="660" w:firstLineChars="200"/>
        <w:textAlignment w:val="auto"/>
        <w:rPr>
          <w:rFonts w:ascii="Times New Roman" w:hAnsi="Times New Roman" w:eastAsia="方正仿宋_GBK"/>
          <w:kern w:val="0"/>
          <w:sz w:val="33"/>
          <w:szCs w:val="33"/>
        </w:rPr>
      </w:pPr>
      <w:r>
        <w:rPr>
          <w:rFonts w:hint="eastAsia" w:ascii="Times New Roman" w:hAnsi="Times New Roman" w:eastAsia="方正仿宋_GBK"/>
          <w:kern w:val="0"/>
          <w:sz w:val="33"/>
          <w:szCs w:val="33"/>
          <w:lang w:val="en-US" w:eastAsia="zh-CN"/>
        </w:rPr>
        <w:t>7.</w:t>
      </w:r>
      <w:r>
        <w:rPr>
          <w:rFonts w:hint="eastAsia" w:ascii="Times New Roman" w:hAnsi="Times New Roman" w:eastAsia="方正仿宋_GBK"/>
          <w:kern w:val="0"/>
          <w:sz w:val="33"/>
          <w:szCs w:val="33"/>
        </w:rPr>
        <w:t>建立和完善信访信息汇集分析机制，指导运用好信访信息系统。</w:t>
      </w:r>
    </w:p>
    <w:p>
      <w:pPr>
        <w:keepNext w:val="0"/>
        <w:keepLines w:val="0"/>
        <w:pageBreakBefore w:val="0"/>
        <w:kinsoku/>
        <w:wordWrap/>
        <w:overflowPunct/>
        <w:topLinePunct w:val="0"/>
        <w:autoSpaceDE w:val="0"/>
        <w:autoSpaceDN/>
        <w:bidi w:val="0"/>
        <w:spacing w:line="590" w:lineRule="exact"/>
        <w:ind w:firstLine="660" w:firstLineChars="200"/>
        <w:textAlignment w:val="auto"/>
        <w:rPr>
          <w:rFonts w:ascii="Times New Roman" w:hAnsi="Times New Roman" w:eastAsia="方正仿宋_GBK"/>
          <w:kern w:val="0"/>
          <w:sz w:val="33"/>
          <w:szCs w:val="33"/>
        </w:rPr>
      </w:pPr>
      <w:r>
        <w:rPr>
          <w:rFonts w:hint="eastAsia" w:ascii="Times New Roman" w:hAnsi="Times New Roman" w:eastAsia="方正仿宋_GBK"/>
          <w:kern w:val="0"/>
          <w:sz w:val="33"/>
          <w:szCs w:val="33"/>
          <w:lang w:val="en-US" w:eastAsia="zh-CN"/>
        </w:rPr>
        <w:t>8.</w:t>
      </w:r>
      <w:r>
        <w:rPr>
          <w:rFonts w:hint="eastAsia" w:ascii="Times New Roman" w:hAnsi="Times New Roman" w:eastAsia="方正仿宋_GBK"/>
          <w:kern w:val="0"/>
          <w:sz w:val="33"/>
          <w:szCs w:val="33"/>
        </w:rPr>
        <w:t>承担县信访工作联席会议、县政府信访事项复查复核委员会日常工作，督促落实有关事项。</w:t>
      </w:r>
    </w:p>
    <w:p>
      <w:pPr>
        <w:keepNext w:val="0"/>
        <w:keepLines w:val="0"/>
        <w:pageBreakBefore w:val="0"/>
        <w:kinsoku/>
        <w:wordWrap/>
        <w:overflowPunct/>
        <w:topLinePunct w:val="0"/>
        <w:autoSpaceDE w:val="0"/>
        <w:autoSpaceDN/>
        <w:bidi w:val="0"/>
        <w:spacing w:line="590" w:lineRule="exact"/>
        <w:ind w:firstLine="660" w:firstLineChars="200"/>
        <w:textAlignment w:val="auto"/>
        <w:rPr>
          <w:rFonts w:ascii="Times New Roman" w:hAnsi="Times New Roman" w:eastAsia="方正仿宋_GBK"/>
          <w:kern w:val="0"/>
          <w:sz w:val="33"/>
          <w:szCs w:val="33"/>
        </w:rPr>
      </w:pPr>
      <w:r>
        <w:rPr>
          <w:rFonts w:hint="eastAsia" w:ascii="Times New Roman" w:hAnsi="Times New Roman" w:eastAsia="方正仿宋_GBK"/>
          <w:kern w:val="0"/>
          <w:sz w:val="33"/>
          <w:szCs w:val="33"/>
          <w:lang w:val="en-US" w:eastAsia="zh-CN"/>
        </w:rPr>
        <w:t>9.</w:t>
      </w:r>
      <w:r>
        <w:rPr>
          <w:rFonts w:hint="eastAsia" w:ascii="Times New Roman" w:hAnsi="Times New Roman" w:eastAsia="方正仿宋_GBK"/>
          <w:kern w:val="0"/>
          <w:sz w:val="33"/>
          <w:szCs w:val="33"/>
        </w:rPr>
        <w:t>负责“共建共治共享”武胜服务平台和政府服务热线管理、县长信箱工作。</w:t>
      </w:r>
    </w:p>
    <w:p>
      <w:pPr>
        <w:keepNext w:val="0"/>
        <w:keepLines w:val="0"/>
        <w:pageBreakBefore w:val="0"/>
        <w:kinsoku/>
        <w:wordWrap/>
        <w:overflowPunct/>
        <w:topLinePunct w:val="0"/>
        <w:autoSpaceDE w:val="0"/>
        <w:autoSpaceDN/>
        <w:bidi w:val="0"/>
        <w:spacing w:line="590" w:lineRule="exact"/>
        <w:ind w:firstLine="660" w:firstLineChars="200"/>
        <w:textAlignment w:val="auto"/>
        <w:rPr>
          <w:rFonts w:ascii="Times New Roman" w:hAnsi="Times New Roman" w:eastAsia="方正仿宋_GBK"/>
          <w:kern w:val="0"/>
          <w:sz w:val="33"/>
          <w:szCs w:val="33"/>
        </w:rPr>
      </w:pPr>
      <w:r>
        <w:rPr>
          <w:rFonts w:hint="eastAsia" w:ascii="Times New Roman" w:hAnsi="Times New Roman" w:eastAsia="方正仿宋_GBK"/>
          <w:kern w:val="0"/>
          <w:sz w:val="33"/>
          <w:szCs w:val="33"/>
          <w:lang w:val="en-US" w:eastAsia="zh-CN"/>
        </w:rPr>
        <w:t>10.</w:t>
      </w:r>
      <w:r>
        <w:rPr>
          <w:rFonts w:hint="eastAsia" w:ascii="Times New Roman" w:hAnsi="Times New Roman" w:eastAsia="方正仿宋_GBK"/>
          <w:kern w:val="0"/>
          <w:sz w:val="33"/>
          <w:szCs w:val="33"/>
        </w:rPr>
        <w:t>负责职责范围内的安全生产和职业健康、生态环境保护、审批服务便民化工作。</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sz w:val="33"/>
          <w:szCs w:val="32"/>
          <w:lang w:val="en-US" w:eastAsia="zh-CN"/>
        </w:rPr>
      </w:pPr>
      <w:r>
        <w:rPr>
          <w:rFonts w:hint="eastAsia" w:ascii="Times New Roman" w:hAnsi="Times New Roman" w:eastAsia="方正仿宋_GBK"/>
          <w:kern w:val="0"/>
          <w:sz w:val="33"/>
          <w:szCs w:val="33"/>
          <w:lang w:val="en-US" w:eastAsia="zh-CN"/>
        </w:rPr>
        <w:t>11.</w:t>
      </w:r>
      <w:r>
        <w:rPr>
          <w:rFonts w:hint="eastAsia" w:ascii="Times New Roman" w:hAnsi="Times New Roman" w:eastAsia="方正仿宋_GBK"/>
          <w:kern w:val="0"/>
          <w:sz w:val="33"/>
          <w:szCs w:val="33"/>
        </w:rPr>
        <w:t>完成县委和县政府交办的其他任务。</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eastAsia" w:ascii="Times New Roman" w:hAnsi="Times New Roman" w:eastAsia="方正楷体_GBK" w:cs="Times New Roman"/>
          <w:b/>
          <w:bCs/>
          <w:color w:val="000000"/>
          <w:kern w:val="0"/>
          <w:sz w:val="33"/>
          <w:szCs w:val="32"/>
          <w:highlight w:val="none"/>
          <w:shd w:val="clear" w:color="auto" w:fill="FFFFFF"/>
          <w:lang w:val="zh-CN"/>
        </w:rPr>
      </w:pPr>
      <w:r>
        <w:rPr>
          <w:rFonts w:hint="default" w:ascii="Times New Roman" w:hAnsi="Times New Roman" w:eastAsia="方正楷体_GBK" w:cs="Times New Roman"/>
          <w:b/>
          <w:bCs/>
          <w:color w:val="000000"/>
          <w:kern w:val="0"/>
          <w:sz w:val="33"/>
          <w:szCs w:val="32"/>
          <w:highlight w:val="none"/>
          <w:shd w:val="clear" w:color="auto" w:fill="FFFFFF"/>
          <w:lang w:val="zh-CN"/>
        </w:rPr>
        <w:t>（</w:t>
      </w:r>
      <w:r>
        <w:rPr>
          <w:rFonts w:hint="eastAsia" w:ascii="Times New Roman" w:hAnsi="Times New Roman" w:eastAsia="方正楷体_GBK" w:cs="Times New Roman"/>
          <w:b/>
          <w:bCs/>
          <w:color w:val="000000"/>
          <w:kern w:val="0"/>
          <w:sz w:val="33"/>
          <w:szCs w:val="32"/>
          <w:highlight w:val="none"/>
          <w:shd w:val="clear" w:color="auto" w:fill="FFFFFF"/>
          <w:lang w:val="zh-CN"/>
        </w:rPr>
        <w:t>三</w:t>
      </w:r>
      <w:r>
        <w:rPr>
          <w:rFonts w:hint="default" w:ascii="Times New Roman" w:hAnsi="Times New Roman" w:eastAsia="方正楷体_GBK" w:cs="Times New Roman"/>
          <w:b/>
          <w:bCs/>
          <w:color w:val="000000"/>
          <w:kern w:val="0"/>
          <w:sz w:val="33"/>
          <w:szCs w:val="32"/>
          <w:highlight w:val="none"/>
          <w:shd w:val="clear" w:color="auto" w:fill="FFFFFF"/>
          <w:lang w:val="zh-CN"/>
        </w:rPr>
        <w:t>）人员概况</w:t>
      </w:r>
      <w:r>
        <w:rPr>
          <w:rFonts w:hint="eastAsia" w:ascii="Times New Roman" w:hAnsi="Times New Roman" w:eastAsia="方正楷体_GBK" w:cs="Times New Roman"/>
          <w:b/>
          <w:bCs/>
          <w:color w:val="000000"/>
          <w:kern w:val="0"/>
          <w:sz w:val="33"/>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方正黑体_GBK" w:hAnsi="方正黑体_GBK" w:eastAsia="方正仿宋_GBK" w:cs="方正黑体_GBK"/>
          <w:color w:val="000000"/>
          <w:kern w:val="0"/>
          <w:sz w:val="33"/>
          <w:szCs w:val="32"/>
          <w:highlight w:val="none"/>
          <w:shd w:val="clear" w:color="auto" w:fill="FFFFFF"/>
          <w:lang w:val="en-US" w:eastAsia="zh-CN"/>
        </w:rPr>
      </w:pPr>
      <w:r>
        <w:rPr>
          <w:rFonts w:hint="eastAsia" w:ascii="Times New Roman" w:hAnsi="Times New Roman" w:eastAsia="方正仿宋_GBK"/>
          <w:kern w:val="0"/>
          <w:sz w:val="33"/>
          <w:szCs w:val="33"/>
        </w:rPr>
        <w:t>县信访局行政编制14名。设局长1名，副局长2名，督查专员2名，机关党委书记1名。</w:t>
      </w:r>
      <w:r>
        <w:rPr>
          <w:rFonts w:hint="eastAsia" w:ascii="Times New Roman" w:hAnsi="Times New Roman" w:eastAsia="方正仿宋_GBK"/>
          <w:kern w:val="0"/>
          <w:sz w:val="33"/>
          <w:szCs w:val="33"/>
          <w:lang w:val="en-US" w:eastAsia="zh-CN"/>
        </w:rPr>
        <w:t>2023年末实有在职职工13人，行政工勤人员1人，县人才交流中心派至县信访局2名事业人员，另有外聘人员6人，见习生2人。</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方正黑体_GBK" w:hAnsi="方正黑体_GBK" w:eastAsia="方正黑体_GBK" w:cs="方正黑体_GBK"/>
          <w:color w:val="000000"/>
          <w:kern w:val="0"/>
          <w:sz w:val="33"/>
          <w:szCs w:val="32"/>
          <w:highlight w:val="none"/>
          <w:shd w:val="clear" w:color="auto" w:fill="FFFFFF"/>
        </w:rPr>
      </w:pPr>
      <w:r>
        <w:rPr>
          <w:rFonts w:hint="eastAsia" w:ascii="方正黑体_GBK" w:hAnsi="方正黑体_GBK" w:eastAsia="方正黑体_GBK" w:cs="方正黑体_GBK"/>
          <w:color w:val="000000"/>
          <w:kern w:val="0"/>
          <w:sz w:val="33"/>
          <w:szCs w:val="32"/>
          <w:highlight w:val="none"/>
          <w:shd w:val="clear" w:color="auto" w:fill="FFFFFF"/>
        </w:rPr>
        <w:t>二、</w:t>
      </w:r>
      <w:r>
        <w:rPr>
          <w:rFonts w:hint="eastAsia" w:ascii="方正黑体_GBK" w:hAnsi="方正黑体_GBK" w:eastAsia="方正黑体_GBK" w:cs="方正黑体_GBK"/>
          <w:color w:val="000000"/>
          <w:kern w:val="0"/>
          <w:sz w:val="33"/>
          <w:szCs w:val="32"/>
          <w:highlight w:val="none"/>
          <w:shd w:val="clear" w:color="auto" w:fill="FFFFFF"/>
          <w:lang w:eastAsia="zh-CN"/>
        </w:rPr>
        <w:t>部门</w:t>
      </w:r>
      <w:r>
        <w:rPr>
          <w:rFonts w:hint="eastAsia" w:ascii="方正黑体_GBK" w:hAnsi="方正黑体_GBK" w:eastAsia="方正黑体_GBK" w:cs="方正黑体_GBK"/>
          <w:color w:val="000000"/>
          <w:kern w:val="0"/>
          <w:sz w:val="33"/>
          <w:szCs w:val="32"/>
          <w:highlight w:val="none"/>
          <w:shd w:val="clear" w:color="auto" w:fill="FFFFFF"/>
        </w:rPr>
        <w:t>资金收支情况</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方正楷体_GBK" w:cs="Times New Roman"/>
          <w:b/>
          <w:bCs/>
          <w:color w:val="000000"/>
          <w:kern w:val="0"/>
          <w:sz w:val="33"/>
          <w:szCs w:val="32"/>
          <w:highlight w:val="none"/>
          <w:shd w:val="clear" w:color="auto" w:fill="FFFFFF"/>
          <w:lang w:val="zh-CN"/>
        </w:rPr>
      </w:pPr>
      <w:r>
        <w:rPr>
          <w:rFonts w:hint="default" w:ascii="Times New Roman" w:hAnsi="Times New Roman" w:eastAsia="方正楷体_GBK" w:cs="Times New Roman"/>
          <w:b/>
          <w:bCs/>
          <w:color w:val="000000"/>
          <w:kern w:val="0"/>
          <w:sz w:val="33"/>
          <w:szCs w:val="32"/>
          <w:highlight w:val="none"/>
          <w:shd w:val="clear" w:color="auto" w:fill="FFFFFF"/>
          <w:lang w:val="zh-CN"/>
        </w:rPr>
        <w:t>（一）</w:t>
      </w:r>
      <w:r>
        <w:rPr>
          <w:rFonts w:hint="eastAsia" w:ascii="Times New Roman" w:hAnsi="Times New Roman" w:eastAsia="方正楷体_GBK" w:cs="Times New Roman"/>
          <w:b/>
          <w:bCs/>
          <w:color w:val="000000"/>
          <w:kern w:val="0"/>
          <w:sz w:val="33"/>
          <w:szCs w:val="32"/>
          <w:highlight w:val="none"/>
          <w:shd w:val="clear" w:color="auto" w:fill="FFFFFF"/>
          <w:lang w:val="zh-CN"/>
        </w:rPr>
        <w:t>收入情况</w:t>
      </w:r>
      <w:r>
        <w:rPr>
          <w:rFonts w:hint="default" w:ascii="Times New Roman" w:hAnsi="Times New Roman" w:eastAsia="方正楷体_GBK" w:cs="Times New Roman"/>
          <w:b/>
          <w:bCs/>
          <w:color w:val="000000"/>
          <w:kern w:val="0"/>
          <w:sz w:val="33"/>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sz w:val="33"/>
          <w:szCs w:val="32"/>
          <w:lang w:val="en-US" w:eastAsia="zh-CN"/>
        </w:rPr>
      </w:pPr>
      <w:r>
        <w:rPr>
          <w:rFonts w:hint="eastAsia" w:ascii="Times New Roman" w:hAnsi="Times New Roman" w:eastAsia="方正仿宋_GBK" w:cs="Times New Roman"/>
          <w:sz w:val="33"/>
          <w:szCs w:val="32"/>
          <w:lang w:val="en-US" w:eastAsia="zh-CN"/>
        </w:rPr>
        <w:t>根据年初预算，2023年预算安排收入</w:t>
      </w:r>
      <w:r>
        <w:rPr>
          <w:rFonts w:hint="eastAsia" w:eastAsia="方正仿宋_GBK" w:cs="Times New Roman"/>
          <w:sz w:val="33"/>
          <w:szCs w:val="32"/>
          <w:lang w:val="en-US" w:eastAsia="zh-CN"/>
        </w:rPr>
        <w:t>325.1</w:t>
      </w:r>
      <w:r>
        <w:rPr>
          <w:rFonts w:hint="eastAsia" w:ascii="Times New Roman" w:hAnsi="Times New Roman" w:eastAsia="方正仿宋_GBK" w:cs="Times New Roman"/>
          <w:sz w:val="33"/>
          <w:szCs w:val="32"/>
          <w:lang w:val="en-US" w:eastAsia="zh-CN"/>
        </w:rPr>
        <w:t>万元，其中：一般公共预算财政拨款收入</w:t>
      </w:r>
      <w:r>
        <w:rPr>
          <w:rFonts w:hint="eastAsia" w:eastAsia="方正仿宋_GBK" w:cs="Times New Roman"/>
          <w:sz w:val="33"/>
          <w:szCs w:val="32"/>
          <w:lang w:val="en-US" w:eastAsia="zh-CN"/>
        </w:rPr>
        <w:t>325.1</w:t>
      </w:r>
      <w:r>
        <w:rPr>
          <w:rFonts w:hint="eastAsia" w:ascii="Times New Roman" w:hAnsi="Times New Roman" w:eastAsia="方正仿宋_GBK" w:cs="Times New Roman"/>
          <w:sz w:val="33"/>
          <w:szCs w:val="32"/>
          <w:lang w:val="en-US" w:eastAsia="zh-CN"/>
        </w:rPr>
        <w:t>万元，</w:t>
      </w:r>
      <w:r>
        <w:rPr>
          <w:rFonts w:hint="eastAsia" w:eastAsia="方正仿宋_GBK" w:cs="Times New Roman"/>
          <w:sz w:val="33"/>
          <w:szCs w:val="32"/>
          <w:lang w:val="en-US" w:eastAsia="zh-CN"/>
        </w:rPr>
        <w:t>上年结转1.61万元</w:t>
      </w:r>
      <w:r>
        <w:rPr>
          <w:rFonts w:hint="eastAsia" w:ascii="Times New Roman" w:hAnsi="Times New Roman" w:eastAsia="方正仿宋_GBK" w:cs="Times New Roman"/>
          <w:sz w:val="33"/>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b/>
          <w:bCs/>
          <w:color w:val="000000"/>
          <w:kern w:val="0"/>
          <w:sz w:val="33"/>
          <w:szCs w:val="32"/>
          <w:highlight w:val="none"/>
          <w:shd w:val="clear" w:color="auto" w:fill="FFFFFF"/>
          <w:lang w:val="zh-CN"/>
        </w:rPr>
      </w:pPr>
      <w:r>
        <w:rPr>
          <w:rFonts w:hint="eastAsia" w:ascii="Times New Roman" w:hAnsi="Times New Roman" w:eastAsia="方正仿宋_GBK" w:cs="Times New Roman"/>
          <w:sz w:val="33"/>
          <w:szCs w:val="32"/>
          <w:highlight w:val="none"/>
          <w:lang w:val="en-US" w:eastAsia="zh-CN"/>
        </w:rPr>
        <w:t>根据决算报表，2023年决算收入为</w:t>
      </w:r>
      <w:r>
        <w:rPr>
          <w:rFonts w:hint="eastAsia" w:eastAsia="方正仿宋_GBK" w:cs="Times New Roman"/>
          <w:sz w:val="33"/>
          <w:szCs w:val="32"/>
          <w:highlight w:val="none"/>
          <w:lang w:val="en-US" w:eastAsia="zh-CN"/>
        </w:rPr>
        <w:t>471.04</w:t>
      </w:r>
      <w:r>
        <w:rPr>
          <w:rFonts w:hint="eastAsia" w:ascii="Times New Roman" w:hAnsi="Times New Roman" w:eastAsia="方正仿宋_GBK" w:cs="Times New Roman"/>
          <w:sz w:val="33"/>
          <w:szCs w:val="32"/>
          <w:highlight w:val="none"/>
          <w:lang w:val="en-US" w:eastAsia="zh-CN"/>
        </w:rPr>
        <w:t>万元，其中：一般公共预算财政拨款收入</w:t>
      </w:r>
      <w:r>
        <w:rPr>
          <w:rFonts w:hint="eastAsia" w:eastAsia="方正仿宋_GBK" w:cs="Times New Roman"/>
          <w:sz w:val="33"/>
          <w:szCs w:val="32"/>
          <w:highlight w:val="none"/>
          <w:lang w:val="en-US" w:eastAsia="zh-CN"/>
        </w:rPr>
        <w:t>352.69</w:t>
      </w:r>
      <w:r>
        <w:rPr>
          <w:rFonts w:hint="eastAsia" w:ascii="Times New Roman" w:hAnsi="Times New Roman" w:eastAsia="方正仿宋_GBK" w:cs="Times New Roman"/>
          <w:sz w:val="33"/>
          <w:szCs w:val="32"/>
          <w:highlight w:val="none"/>
          <w:lang w:val="en-US" w:eastAsia="zh-CN"/>
        </w:rPr>
        <w:t>万元，政府性基金预算财政拨款收入</w:t>
      </w:r>
      <w:r>
        <w:rPr>
          <w:rFonts w:hint="eastAsia" w:eastAsia="方正仿宋_GBK" w:cs="Times New Roman"/>
          <w:sz w:val="33"/>
          <w:szCs w:val="32"/>
          <w:highlight w:val="none"/>
          <w:lang w:val="en-US" w:eastAsia="zh-CN"/>
        </w:rPr>
        <w:t>118.35</w:t>
      </w:r>
      <w:r>
        <w:rPr>
          <w:rFonts w:hint="eastAsia" w:ascii="Times New Roman" w:hAnsi="Times New Roman" w:eastAsia="方正仿宋_GBK" w:cs="Times New Roman"/>
          <w:sz w:val="33"/>
          <w:szCs w:val="32"/>
          <w:highlight w:val="none"/>
          <w:lang w:val="en-US" w:eastAsia="zh-CN"/>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eastAsia" w:ascii="Times New Roman" w:hAnsi="Times New Roman" w:eastAsia="方正楷体_GBK" w:cs="Times New Roman"/>
          <w:b/>
          <w:bCs/>
          <w:color w:val="000000"/>
          <w:kern w:val="0"/>
          <w:sz w:val="33"/>
          <w:szCs w:val="32"/>
          <w:highlight w:val="none"/>
          <w:shd w:val="clear" w:color="auto" w:fill="FFFFFF"/>
          <w:lang w:val="zh-CN"/>
        </w:rPr>
      </w:pPr>
      <w:r>
        <w:rPr>
          <w:rFonts w:hint="eastAsia" w:ascii="Times New Roman" w:hAnsi="Times New Roman" w:eastAsia="方正楷体_GBK" w:cs="Times New Roman"/>
          <w:b/>
          <w:bCs/>
          <w:color w:val="000000"/>
          <w:kern w:val="0"/>
          <w:sz w:val="33"/>
          <w:szCs w:val="32"/>
          <w:highlight w:val="none"/>
          <w:shd w:val="clear" w:color="auto" w:fill="FFFFFF"/>
          <w:lang w:val="zh-CN"/>
        </w:rPr>
        <w:t>（二）支出情况。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leftChars="0" w:firstLine="660" w:firstLineChars="200"/>
        <w:contextualSpacing/>
        <w:jc w:val="left"/>
        <w:textAlignment w:val="auto"/>
        <w:outlineLvl w:val="9"/>
        <w:rPr>
          <w:rFonts w:hint="eastAsia" w:ascii="Times New Roman" w:hAnsi="Times New Roman" w:eastAsia="方正仿宋_GBK"/>
          <w:sz w:val="33"/>
          <w:lang w:val="en-US" w:eastAsia="zh-CN"/>
        </w:rPr>
      </w:pPr>
      <w:r>
        <w:rPr>
          <w:rFonts w:hint="eastAsia" w:ascii="Times New Roman" w:hAnsi="Times New Roman" w:eastAsia="方正仿宋_GBK" w:cs="Times New Roman"/>
          <w:sz w:val="33"/>
          <w:szCs w:val="32"/>
          <w:lang w:val="zh-CN" w:eastAsia="zh-CN"/>
        </w:rPr>
        <w:t>根据年初预算，</w:t>
      </w:r>
      <w:r>
        <w:rPr>
          <w:rFonts w:hint="eastAsia" w:ascii="Times New Roman" w:hAnsi="Times New Roman" w:eastAsia="方正仿宋_GBK" w:cs="Times New Roman"/>
          <w:sz w:val="33"/>
          <w:szCs w:val="32"/>
          <w:lang w:val="en-US" w:eastAsia="zh-CN"/>
        </w:rPr>
        <w:t>2023年预算安排支出</w:t>
      </w:r>
      <w:r>
        <w:rPr>
          <w:rFonts w:hint="eastAsia" w:eastAsia="方正仿宋_GBK" w:cs="Times New Roman"/>
          <w:sz w:val="33"/>
          <w:szCs w:val="32"/>
          <w:lang w:val="en-US" w:eastAsia="zh-CN"/>
        </w:rPr>
        <w:t>326.7</w:t>
      </w:r>
      <w:r>
        <w:rPr>
          <w:rFonts w:hint="eastAsia" w:ascii="Times New Roman" w:hAnsi="Times New Roman" w:eastAsia="方正仿宋_GBK" w:cs="Times New Roman"/>
          <w:sz w:val="33"/>
          <w:szCs w:val="32"/>
          <w:lang w:val="en-US" w:eastAsia="zh-CN"/>
        </w:rPr>
        <w:t>万元，其中：基本支出</w:t>
      </w:r>
      <w:r>
        <w:rPr>
          <w:rFonts w:hint="eastAsia" w:eastAsia="方正仿宋_GBK" w:cs="Times New Roman"/>
          <w:sz w:val="33"/>
          <w:szCs w:val="32"/>
          <w:lang w:val="en-US" w:eastAsia="zh-CN"/>
        </w:rPr>
        <w:t>299.12</w:t>
      </w:r>
      <w:r>
        <w:rPr>
          <w:rFonts w:hint="eastAsia" w:ascii="Times New Roman" w:hAnsi="Times New Roman" w:eastAsia="方正仿宋_GBK" w:cs="Times New Roman"/>
          <w:sz w:val="33"/>
          <w:szCs w:val="32"/>
          <w:lang w:val="en-US" w:eastAsia="zh-CN"/>
        </w:rPr>
        <w:t>万元，项目支出</w:t>
      </w:r>
      <w:r>
        <w:rPr>
          <w:rFonts w:hint="eastAsia" w:eastAsia="方正仿宋_GBK" w:cs="Times New Roman"/>
          <w:sz w:val="33"/>
          <w:szCs w:val="32"/>
          <w:lang w:val="en-US" w:eastAsia="zh-CN"/>
        </w:rPr>
        <w:t>27.58</w:t>
      </w:r>
      <w:r>
        <w:rPr>
          <w:rFonts w:hint="eastAsia" w:ascii="Times New Roman" w:hAnsi="Times New Roman" w:eastAsia="方正仿宋_GBK" w:cs="Times New Roman"/>
          <w:sz w:val="33"/>
          <w:szCs w:val="32"/>
          <w:lang w:val="en-US" w:eastAsia="zh-CN"/>
        </w:rPr>
        <w:t>万元。</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bCs/>
          <w:color w:val="000000"/>
          <w:kern w:val="0"/>
          <w:sz w:val="33"/>
          <w:szCs w:val="32"/>
          <w:highlight w:val="yellow"/>
          <w:shd w:val="clear" w:color="auto" w:fill="FFFFFF"/>
          <w:lang w:val="zh-CN"/>
        </w:rPr>
      </w:pPr>
      <w:r>
        <w:rPr>
          <w:rFonts w:hint="eastAsia" w:ascii="Times New Roman" w:hAnsi="Times New Roman" w:eastAsia="方正仿宋_GBK" w:cs="Times New Roman"/>
          <w:sz w:val="33"/>
          <w:szCs w:val="32"/>
          <w:highlight w:val="none"/>
          <w:lang w:val="en-US" w:eastAsia="zh-CN"/>
        </w:rPr>
        <w:t>根据决算报表，2023年全部资金支出</w:t>
      </w:r>
      <w:r>
        <w:rPr>
          <w:rFonts w:hint="eastAsia" w:eastAsia="方正仿宋_GBK" w:cs="Times New Roman"/>
          <w:sz w:val="33"/>
          <w:szCs w:val="32"/>
          <w:highlight w:val="none"/>
          <w:lang w:val="en-US" w:eastAsia="zh-CN"/>
        </w:rPr>
        <w:t>471.04</w:t>
      </w:r>
      <w:r>
        <w:rPr>
          <w:rFonts w:hint="eastAsia" w:ascii="Times New Roman" w:hAnsi="Times New Roman" w:eastAsia="方正仿宋_GBK" w:cs="Times New Roman"/>
          <w:sz w:val="33"/>
          <w:szCs w:val="32"/>
          <w:highlight w:val="none"/>
          <w:lang w:val="en-US" w:eastAsia="zh-CN"/>
        </w:rPr>
        <w:t>万元，其中：基本支出</w:t>
      </w:r>
      <w:r>
        <w:rPr>
          <w:rFonts w:hint="eastAsia" w:eastAsia="方正仿宋_GBK" w:cs="Times New Roman"/>
          <w:sz w:val="33"/>
          <w:szCs w:val="32"/>
          <w:highlight w:val="none"/>
          <w:lang w:val="en-US" w:eastAsia="zh-CN"/>
        </w:rPr>
        <w:t>326.49</w:t>
      </w:r>
      <w:r>
        <w:rPr>
          <w:rFonts w:hint="eastAsia" w:ascii="Times New Roman" w:hAnsi="Times New Roman" w:eastAsia="方正仿宋_GBK" w:cs="Times New Roman"/>
          <w:sz w:val="33"/>
          <w:szCs w:val="32"/>
          <w:highlight w:val="none"/>
          <w:lang w:val="en-US" w:eastAsia="zh-CN"/>
        </w:rPr>
        <w:t>万元，项目支出</w:t>
      </w:r>
      <w:r>
        <w:rPr>
          <w:rFonts w:hint="eastAsia" w:eastAsia="方正仿宋_GBK" w:cs="Times New Roman"/>
          <w:sz w:val="33"/>
          <w:szCs w:val="32"/>
          <w:highlight w:val="none"/>
          <w:lang w:val="en-US" w:eastAsia="zh-CN"/>
        </w:rPr>
        <w:t>144.55</w:t>
      </w:r>
      <w:r>
        <w:rPr>
          <w:rFonts w:hint="eastAsia" w:ascii="Times New Roman" w:hAnsi="Times New Roman" w:eastAsia="方正仿宋_GBK" w:cs="Times New Roman"/>
          <w:sz w:val="33"/>
          <w:szCs w:val="32"/>
          <w:highlight w:val="none"/>
          <w:lang w:val="en-US" w:eastAsia="zh-CN"/>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方正楷体_GBK" w:cs="Times New Roman"/>
          <w:b/>
          <w:bCs/>
          <w:color w:val="000000"/>
          <w:kern w:val="0"/>
          <w:sz w:val="33"/>
          <w:szCs w:val="32"/>
          <w:highlight w:val="none"/>
          <w:shd w:val="clear" w:color="auto" w:fill="FFFFFF"/>
          <w:lang w:val="zh-CN" w:eastAsia="zh-CN"/>
        </w:rPr>
      </w:pPr>
      <w:r>
        <w:rPr>
          <w:rFonts w:hint="eastAsia" w:ascii="Times New Roman" w:hAnsi="Times New Roman" w:eastAsia="方正楷体_GBK" w:cs="Times New Roman"/>
          <w:b/>
          <w:bCs/>
          <w:color w:val="000000"/>
          <w:kern w:val="0"/>
          <w:sz w:val="33"/>
          <w:szCs w:val="32"/>
          <w:highlight w:val="none"/>
          <w:shd w:val="clear" w:color="auto" w:fill="FFFFFF"/>
          <w:lang w:val="zh-CN"/>
        </w:rPr>
        <w:t>（三）</w:t>
      </w:r>
      <w:r>
        <w:rPr>
          <w:rFonts w:hint="default" w:ascii="Times New Roman" w:hAnsi="Times New Roman" w:eastAsia="方正楷体_GBK" w:cs="Times New Roman"/>
          <w:b/>
          <w:bCs/>
          <w:color w:val="000000"/>
          <w:kern w:val="0"/>
          <w:sz w:val="33"/>
          <w:szCs w:val="32"/>
          <w:highlight w:val="none"/>
          <w:shd w:val="clear" w:color="auto" w:fill="FFFFFF"/>
          <w:lang w:val="zh-CN"/>
        </w:rPr>
        <w:t>结余分配和结转结余情况</w:t>
      </w:r>
      <w:r>
        <w:rPr>
          <w:rFonts w:hint="eastAsia" w:ascii="Times New Roman" w:hAnsi="Times New Roman" w:eastAsia="方正楷体_GBK" w:cs="Times New Roman"/>
          <w:b/>
          <w:bCs/>
          <w:color w:val="000000"/>
          <w:kern w:val="0"/>
          <w:sz w:val="33"/>
          <w:szCs w:val="32"/>
          <w:highlight w:val="none"/>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b w:val="0"/>
          <w:bCs w:val="0"/>
          <w:color w:val="000000"/>
          <w:kern w:val="0"/>
          <w:sz w:val="33"/>
          <w:szCs w:val="32"/>
          <w:highlight w:val="yellow"/>
          <w:shd w:val="clear" w:color="auto" w:fill="FFFFFF"/>
          <w:lang w:val="zh-CN" w:eastAsia="zh-CN"/>
        </w:rPr>
      </w:pP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根据决算报表，2023年资金结转和结余0万元</w:t>
      </w:r>
      <w:r>
        <w:rPr>
          <w:rFonts w:hint="default" w:ascii="Times New Roman" w:hAnsi="Times New Roman" w:eastAsia="方正仿宋_GBK" w:cs="Times New Roman"/>
          <w:b w:val="0"/>
          <w:bCs w:val="0"/>
          <w:color w:val="000000"/>
          <w:kern w:val="0"/>
          <w:sz w:val="33"/>
          <w:szCs w:val="32"/>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方正黑体_GBK" w:hAnsi="方正黑体_GBK" w:eastAsia="方正黑体_GBK" w:cs="方正黑体_GBK"/>
          <w:color w:val="000000"/>
          <w:kern w:val="0"/>
          <w:sz w:val="33"/>
          <w:szCs w:val="32"/>
          <w:highlight w:val="none"/>
          <w:shd w:val="clear" w:color="auto" w:fill="FFFFFF"/>
        </w:rPr>
      </w:pPr>
      <w:r>
        <w:rPr>
          <w:rFonts w:hint="eastAsia" w:ascii="方正黑体_GBK" w:hAnsi="方正黑体_GBK" w:eastAsia="方正黑体_GBK" w:cs="方正黑体_GBK"/>
          <w:color w:val="000000"/>
          <w:kern w:val="0"/>
          <w:sz w:val="33"/>
          <w:szCs w:val="32"/>
          <w:highlight w:val="none"/>
          <w:shd w:val="clear" w:color="auto" w:fill="FFFFFF"/>
        </w:rPr>
        <w:t>三、</w:t>
      </w:r>
      <w:r>
        <w:rPr>
          <w:rFonts w:hint="eastAsia" w:ascii="方正黑体_GBK" w:hAnsi="方正黑体_GBK" w:eastAsia="方正黑体_GBK" w:cs="方正黑体_GBK"/>
          <w:color w:val="000000"/>
          <w:kern w:val="0"/>
          <w:sz w:val="33"/>
          <w:szCs w:val="32"/>
          <w:highlight w:val="none"/>
          <w:u w:val="none"/>
          <w:shd w:val="clear" w:color="auto" w:fill="FFFFFF"/>
        </w:rPr>
        <w:t>部门</w:t>
      </w:r>
      <w:r>
        <w:rPr>
          <w:rFonts w:hint="eastAsia" w:ascii="方正黑体_GBK" w:hAnsi="方正黑体_GBK" w:eastAsia="方正黑体_GBK" w:cs="方正黑体_GBK"/>
          <w:color w:val="000000"/>
          <w:kern w:val="0"/>
          <w:sz w:val="33"/>
          <w:szCs w:val="32"/>
          <w:highlight w:val="none"/>
          <w:u w:val="none"/>
          <w:shd w:val="clear" w:color="auto" w:fill="FFFFFF"/>
          <w:lang w:eastAsia="zh-CN"/>
        </w:rPr>
        <w:t>预算</w:t>
      </w:r>
      <w:r>
        <w:rPr>
          <w:rFonts w:hint="eastAsia" w:ascii="方正黑体_GBK" w:hAnsi="方正黑体_GBK" w:eastAsia="方正黑体_GBK" w:cs="方正黑体_GBK"/>
          <w:color w:val="000000"/>
          <w:kern w:val="0"/>
          <w:sz w:val="33"/>
          <w:szCs w:val="32"/>
          <w:highlight w:val="none"/>
          <w:u w:val="none"/>
          <w:shd w:val="clear" w:color="auto" w:fill="FFFFFF"/>
        </w:rPr>
        <w:t>绩效</w:t>
      </w:r>
      <w:r>
        <w:rPr>
          <w:rFonts w:hint="eastAsia" w:ascii="方正黑体_GBK" w:hAnsi="方正黑体_GBK" w:eastAsia="方正黑体_GBK" w:cs="方正黑体_GBK"/>
          <w:color w:val="000000"/>
          <w:kern w:val="0"/>
          <w:sz w:val="33"/>
          <w:szCs w:val="32"/>
          <w:highlight w:val="none"/>
          <w:u w:val="none"/>
          <w:shd w:val="clear" w:color="auto" w:fill="FFFFFF"/>
          <w:lang w:eastAsia="zh-CN"/>
        </w:rPr>
        <w:t>分析</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方正楷体_GBK" w:cs="Times New Roman"/>
          <w:b/>
          <w:bCs/>
          <w:color w:val="000000"/>
          <w:kern w:val="0"/>
          <w:sz w:val="33"/>
          <w:szCs w:val="32"/>
          <w:highlight w:val="none"/>
          <w:shd w:val="clear" w:color="auto" w:fill="FFFFFF"/>
          <w:lang w:val="zh-CN"/>
        </w:rPr>
      </w:pPr>
      <w:r>
        <w:rPr>
          <w:rFonts w:hint="default" w:ascii="Times New Roman" w:hAnsi="Times New Roman" w:eastAsia="方正楷体_GBK" w:cs="Times New Roman"/>
          <w:b/>
          <w:bCs/>
          <w:color w:val="000000"/>
          <w:kern w:val="0"/>
          <w:sz w:val="33"/>
          <w:szCs w:val="32"/>
          <w:highlight w:val="none"/>
          <w:shd w:val="clear" w:color="auto" w:fill="FFFFFF"/>
          <w:lang w:val="zh-CN"/>
        </w:rPr>
        <w:t>（一）</w:t>
      </w:r>
      <w:r>
        <w:rPr>
          <w:rFonts w:hint="eastAsia" w:ascii="Times New Roman" w:hAnsi="Times New Roman" w:eastAsia="方正楷体_GBK" w:cs="Times New Roman"/>
          <w:b/>
          <w:bCs/>
          <w:color w:val="000000"/>
          <w:kern w:val="0"/>
          <w:sz w:val="33"/>
          <w:szCs w:val="32"/>
          <w:highlight w:val="none"/>
          <w:shd w:val="clear" w:color="auto" w:fill="FFFFFF"/>
          <w:lang w:val="zh-CN"/>
        </w:rPr>
        <w:t>部门预算</w:t>
      </w:r>
      <w:r>
        <w:rPr>
          <w:rFonts w:hint="default" w:ascii="Times New Roman" w:hAnsi="Times New Roman" w:eastAsia="方正楷体_GBK" w:cs="Times New Roman"/>
          <w:b/>
          <w:bCs/>
          <w:color w:val="000000"/>
          <w:kern w:val="0"/>
          <w:sz w:val="33"/>
          <w:szCs w:val="32"/>
          <w:highlight w:val="none"/>
          <w:shd w:val="clear" w:color="auto" w:fill="FFFFFF"/>
          <w:lang w:val="zh-CN"/>
        </w:rPr>
        <w:t>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b w:val="0"/>
          <w:bCs w:val="0"/>
          <w:color w:val="000000"/>
          <w:kern w:val="0"/>
          <w:sz w:val="33"/>
          <w:szCs w:val="32"/>
          <w:highlight w:val="none"/>
          <w:shd w:val="clear" w:color="auto" w:fill="FFFFFF"/>
          <w:lang w:val="zh-CN"/>
        </w:rPr>
      </w:pPr>
      <w:r>
        <w:rPr>
          <w:rFonts w:hint="default" w:ascii="Times New Roman" w:hAnsi="Times New Roman" w:eastAsia="方正仿宋_GBK" w:cs="Times New Roman"/>
          <w:b w:val="0"/>
          <w:bCs w:val="0"/>
          <w:color w:val="000000"/>
          <w:kern w:val="0"/>
          <w:sz w:val="33"/>
          <w:szCs w:val="32"/>
          <w:highlight w:val="none"/>
          <w:shd w:val="clear" w:color="auto" w:fill="FFFFFF"/>
          <w:lang w:val="en-US" w:eastAsia="zh-CN"/>
        </w:rPr>
        <w:t>1.</w:t>
      </w:r>
      <w:r>
        <w:rPr>
          <w:rFonts w:hint="default" w:ascii="Times New Roman" w:hAnsi="Times New Roman" w:eastAsia="方正仿宋_GBK" w:cs="Times New Roman"/>
          <w:b w:val="0"/>
          <w:bCs w:val="0"/>
          <w:color w:val="000000"/>
          <w:kern w:val="0"/>
          <w:sz w:val="33"/>
          <w:szCs w:val="32"/>
          <w:highlight w:val="none"/>
          <w:shd w:val="clear" w:color="auto" w:fill="FFFFFF"/>
          <w:lang w:val="zh-CN"/>
        </w:rPr>
        <w:t>履职效能。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color w:val="auto"/>
          <w:kern w:val="0"/>
          <w:sz w:val="33"/>
          <w:szCs w:val="32"/>
          <w:highlight w:val="none"/>
          <w:shd w:val="clear" w:color="auto" w:fill="FFFFFF"/>
          <w:lang w:val="en-US" w:eastAsia="zh-CN"/>
        </w:rPr>
      </w:pPr>
      <w:r>
        <w:rPr>
          <w:rFonts w:hint="eastAsia" w:ascii="Times New Roman" w:hAnsi="Times New Roman" w:eastAsia="方正仿宋_GBK" w:cs="Times New Roman"/>
          <w:color w:val="auto"/>
          <w:kern w:val="0"/>
          <w:sz w:val="33"/>
          <w:szCs w:val="32"/>
          <w:highlight w:val="none"/>
          <w:shd w:val="clear" w:color="auto" w:fill="FFFFFF"/>
          <w:lang w:val="zh-CN"/>
        </w:rPr>
        <w:t>部门整体绩效目标年初设定</w:t>
      </w:r>
      <w:r>
        <w:rPr>
          <w:rFonts w:hint="eastAsia" w:eastAsia="方正仿宋_GBK" w:cs="Times New Roman"/>
          <w:color w:val="auto"/>
          <w:kern w:val="0"/>
          <w:sz w:val="33"/>
          <w:szCs w:val="32"/>
          <w:highlight w:val="none"/>
          <w:shd w:val="clear" w:color="auto" w:fill="FFFFFF"/>
          <w:lang w:val="zh-CN"/>
        </w:rPr>
        <w:t>：到国家申诉求决类走访人数累计不超过</w:t>
      </w:r>
      <w:r>
        <w:rPr>
          <w:rFonts w:hint="eastAsia" w:eastAsia="方正仿宋_GBK" w:cs="Times New Roman"/>
          <w:color w:val="auto"/>
          <w:kern w:val="0"/>
          <w:sz w:val="33"/>
          <w:szCs w:val="32"/>
          <w:highlight w:val="none"/>
          <w:shd w:val="clear" w:color="auto" w:fill="FFFFFF"/>
          <w:lang w:val="en-US" w:eastAsia="zh-CN"/>
        </w:rPr>
        <w:t>6人次，向国家信访局求决申诉类来信件次累计不超过55件，向国家信访件申诉求决类网上信访件次累计不超过139件次，不发生进京集体访以及到县级以上超过50人集体访，在敏感时间节点不发生大规模聚集或涉访个人极端行为。</w:t>
      </w:r>
      <w:r>
        <w:rPr>
          <w:rFonts w:hint="eastAsia" w:ascii="Times New Roman" w:hAnsi="Times New Roman" w:eastAsia="方正仿宋_GBK" w:cs="Times New Roman"/>
          <w:color w:val="auto"/>
          <w:kern w:val="0"/>
          <w:sz w:val="33"/>
          <w:szCs w:val="32"/>
          <w:highlight w:val="none"/>
          <w:shd w:val="clear" w:color="auto" w:fill="FFFFFF"/>
          <w:lang w:val="en-US" w:eastAsia="zh-CN"/>
        </w:rPr>
        <w:t>年终均完成履职效果。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color w:val="auto"/>
          <w:kern w:val="0"/>
          <w:sz w:val="33"/>
          <w:szCs w:val="32"/>
          <w:highlight w:val="none"/>
          <w:shd w:val="clear" w:color="auto" w:fill="FFFFFF"/>
          <w:lang w:val="en-US" w:eastAsia="zh-CN"/>
        </w:rPr>
      </w:pPr>
      <w:r>
        <w:rPr>
          <w:rFonts w:hint="eastAsia" w:ascii="Times New Roman" w:hAnsi="Times New Roman" w:eastAsia="方正仿宋_GBK" w:cs="Times New Roman"/>
          <w:color w:val="auto"/>
          <w:kern w:val="0"/>
          <w:sz w:val="33"/>
          <w:szCs w:val="32"/>
          <w:highlight w:val="none"/>
          <w:shd w:val="clear" w:color="auto" w:fill="FFFFFF"/>
          <w:lang w:val="en-US" w:eastAsia="zh-CN"/>
        </w:rPr>
        <w:t>“履职效能”指标满分15分，得分15分。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val="0"/>
          <w:bCs w:val="0"/>
          <w:color w:val="000000"/>
          <w:kern w:val="0"/>
          <w:sz w:val="33"/>
          <w:szCs w:val="32"/>
          <w:highlight w:val="none"/>
          <w:shd w:val="clear" w:color="auto" w:fill="FFFFFF"/>
          <w:lang w:val="zh-CN" w:eastAsia="zh-CN"/>
        </w:rPr>
      </w:pP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2.</w:t>
      </w:r>
      <w:r>
        <w:rPr>
          <w:rFonts w:hint="default" w:ascii="Times New Roman" w:hAnsi="Times New Roman" w:eastAsia="方正仿宋_GBK" w:cs="Times New Roman"/>
          <w:b w:val="0"/>
          <w:bCs w:val="0"/>
          <w:color w:val="000000"/>
          <w:kern w:val="0"/>
          <w:sz w:val="33"/>
          <w:szCs w:val="32"/>
          <w:highlight w:val="none"/>
          <w:shd w:val="clear" w:color="auto" w:fill="FFFFFF"/>
          <w:lang w:val="zh-CN" w:eastAsia="zh-CN"/>
        </w:rPr>
        <w:t>预算管理</w:t>
      </w:r>
      <w:r>
        <w:rPr>
          <w:rFonts w:hint="eastAsia" w:ascii="Times New Roman" w:hAnsi="Times New Roman" w:eastAsia="方正仿宋_GBK" w:cs="Times New Roman"/>
          <w:b w:val="0"/>
          <w:bCs w:val="0"/>
          <w:color w:val="000000"/>
          <w:kern w:val="0"/>
          <w:sz w:val="33"/>
          <w:szCs w:val="32"/>
          <w:highlight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val="0"/>
          <w:bCs w:val="0"/>
          <w:color w:val="000000"/>
          <w:kern w:val="0"/>
          <w:sz w:val="33"/>
          <w:szCs w:val="32"/>
          <w:highlight w:val="none"/>
          <w:shd w:val="clear" w:color="auto" w:fill="FFFFFF"/>
          <w:lang w:val="zh-CN" w:eastAsia="zh-CN"/>
        </w:rPr>
      </w:pPr>
      <w:r>
        <w:rPr>
          <w:rFonts w:hint="eastAsia" w:ascii="Times New Roman" w:hAnsi="Times New Roman" w:eastAsia="方正仿宋_GBK" w:cs="Times New Roman"/>
          <w:b w:val="0"/>
          <w:bCs w:val="0"/>
          <w:color w:val="000000"/>
          <w:kern w:val="0"/>
          <w:sz w:val="33"/>
          <w:szCs w:val="32"/>
          <w:highlight w:val="none"/>
          <w:shd w:val="clear" w:color="auto" w:fill="FFFFFF"/>
          <w:lang w:val="zh-CN" w:eastAsia="zh-CN"/>
        </w:rPr>
        <w:t>（</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1</w:t>
      </w:r>
      <w:r>
        <w:rPr>
          <w:rFonts w:hint="eastAsia" w:ascii="Times New Roman" w:hAnsi="Times New Roman" w:eastAsia="方正仿宋_GBK" w:cs="Times New Roman"/>
          <w:b w:val="0"/>
          <w:bCs w:val="0"/>
          <w:color w:val="000000"/>
          <w:kern w:val="0"/>
          <w:sz w:val="33"/>
          <w:szCs w:val="32"/>
          <w:highlight w:val="none"/>
          <w:shd w:val="clear" w:color="auto" w:fill="FFFFFF"/>
          <w:lang w:val="zh-CN" w:eastAsia="zh-CN"/>
        </w:rPr>
        <w:t>）预算编制质量</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（8分）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楷体_GB2312"/>
          <w:color w:val="000000"/>
          <w:kern w:val="0"/>
          <w:sz w:val="33"/>
          <w:szCs w:val="32"/>
          <w:highlight w:val="none"/>
          <w:shd w:val="clear" w:color="auto" w:fill="FFFFFF"/>
          <w:lang w:val="zh-CN"/>
        </w:rPr>
      </w:pPr>
      <w:r>
        <w:rPr>
          <w:rFonts w:hint="eastAsia" w:ascii="Times New Roman" w:hAnsi="Times New Roman" w:eastAsia="方正仿宋_GBK" w:cs="Times New Roman"/>
          <w:color w:val="000000"/>
          <w:kern w:val="0"/>
          <w:sz w:val="33"/>
          <w:szCs w:val="32"/>
          <w:highlight w:val="none"/>
          <w:shd w:val="clear" w:color="auto" w:fill="FFFFFF"/>
          <w:lang w:val="zh-CN"/>
        </w:rPr>
        <w:t>严格根据上年度的预算执行情况和本年度经济发展情况，综合考虑各方面的因素，编制</w:t>
      </w:r>
      <w:r>
        <w:rPr>
          <w:rFonts w:hint="eastAsia" w:ascii="Times New Roman" w:hAnsi="Times New Roman" w:eastAsia="方正仿宋_GBK" w:cs="Times New Roman"/>
          <w:color w:val="000000"/>
          <w:kern w:val="0"/>
          <w:sz w:val="33"/>
          <w:szCs w:val="32"/>
          <w:highlight w:val="none"/>
          <w:shd w:val="clear" w:color="auto" w:fill="FFFFFF"/>
          <w:lang w:val="en-US" w:eastAsia="zh-CN"/>
        </w:rPr>
        <w:t>2023年</w:t>
      </w:r>
      <w:r>
        <w:rPr>
          <w:rFonts w:hint="eastAsia" w:ascii="Times New Roman" w:hAnsi="Times New Roman" w:eastAsia="方正仿宋_GBK" w:cs="Times New Roman"/>
          <w:color w:val="000000"/>
          <w:kern w:val="0"/>
          <w:sz w:val="33"/>
          <w:szCs w:val="32"/>
          <w:highlight w:val="none"/>
          <w:shd w:val="clear" w:color="auto" w:fill="FFFFFF"/>
          <w:lang w:val="zh-CN"/>
        </w:rPr>
        <w:t>年度预算。年初预算数</w:t>
      </w:r>
      <w:r>
        <w:rPr>
          <w:rFonts w:hint="eastAsia" w:eastAsia="方正仿宋_GBK" w:cs="Times New Roman"/>
          <w:color w:val="000000"/>
          <w:kern w:val="0"/>
          <w:sz w:val="33"/>
          <w:szCs w:val="32"/>
          <w:highlight w:val="none"/>
          <w:shd w:val="clear" w:color="auto" w:fill="FFFFFF"/>
          <w:lang w:val="en-US" w:eastAsia="zh-CN"/>
        </w:rPr>
        <w:t>325.1</w:t>
      </w:r>
      <w:r>
        <w:rPr>
          <w:rFonts w:hint="eastAsia" w:ascii="Times New Roman" w:hAnsi="Times New Roman" w:eastAsia="方正仿宋_GBK" w:cs="Times New Roman"/>
          <w:color w:val="000000"/>
          <w:kern w:val="0"/>
          <w:sz w:val="33"/>
          <w:szCs w:val="32"/>
          <w:highlight w:val="none"/>
          <w:shd w:val="clear" w:color="auto" w:fill="FFFFFF"/>
          <w:lang w:val="en-US" w:eastAsia="zh-CN"/>
        </w:rPr>
        <w:t>万元、</w:t>
      </w:r>
      <w:r>
        <w:rPr>
          <w:rFonts w:hint="eastAsia" w:ascii="Times New Roman" w:hAnsi="Times New Roman" w:eastAsia="方正仿宋_GBK" w:cs="Times New Roman"/>
          <w:color w:val="000000"/>
          <w:kern w:val="0"/>
          <w:sz w:val="33"/>
          <w:szCs w:val="32"/>
          <w:highlight w:val="none"/>
          <w:shd w:val="clear" w:color="auto" w:fill="FFFFFF"/>
          <w:lang w:val="zh-CN"/>
        </w:rPr>
        <w:t>预算执行数</w:t>
      </w:r>
      <w:r>
        <w:rPr>
          <w:rFonts w:hint="eastAsia" w:eastAsia="方正仿宋_GBK" w:cs="Times New Roman"/>
          <w:color w:val="000000"/>
          <w:kern w:val="0"/>
          <w:sz w:val="33"/>
          <w:szCs w:val="32"/>
          <w:highlight w:val="none"/>
          <w:shd w:val="clear" w:color="auto" w:fill="FFFFFF"/>
          <w:lang w:val="en-US" w:eastAsia="zh-CN"/>
        </w:rPr>
        <w:t>326.7</w:t>
      </w:r>
      <w:r>
        <w:rPr>
          <w:rFonts w:hint="eastAsia" w:ascii="Times New Roman" w:hAnsi="Times New Roman" w:eastAsia="方正仿宋_GBK" w:cs="Times New Roman"/>
          <w:color w:val="000000"/>
          <w:kern w:val="0"/>
          <w:sz w:val="33"/>
          <w:szCs w:val="32"/>
          <w:highlight w:val="none"/>
          <w:shd w:val="clear" w:color="auto" w:fill="FFFFFF"/>
          <w:lang w:val="en-US" w:eastAsia="zh-CN"/>
        </w:rPr>
        <w:t>万元、</w:t>
      </w:r>
      <w:r>
        <w:rPr>
          <w:rFonts w:hint="eastAsia" w:ascii="Times New Roman" w:hAnsi="Times New Roman" w:eastAsia="方正仿宋_GBK" w:cs="Times New Roman"/>
          <w:color w:val="000000"/>
          <w:kern w:val="0"/>
          <w:sz w:val="33"/>
          <w:szCs w:val="32"/>
          <w:highlight w:val="none"/>
          <w:shd w:val="clear" w:color="auto" w:fill="FFFFFF"/>
          <w:lang w:val="zh-CN"/>
        </w:rPr>
        <w:t>财政拨款偏离度</w:t>
      </w:r>
      <w:r>
        <w:rPr>
          <w:rFonts w:hint="eastAsia" w:eastAsia="方正仿宋_GBK" w:cs="Times New Roman"/>
          <w:color w:val="000000"/>
          <w:kern w:val="0"/>
          <w:sz w:val="33"/>
          <w:szCs w:val="32"/>
          <w:highlight w:val="none"/>
          <w:shd w:val="clear" w:color="auto" w:fill="FFFFFF"/>
          <w:lang w:val="en-US" w:eastAsia="zh-CN"/>
        </w:rPr>
        <w:t>0.005</w:t>
      </w:r>
      <w:r>
        <w:rPr>
          <w:rFonts w:hint="eastAsia" w:ascii="Times New Roman" w:hAnsi="Times New Roman" w:eastAsia="方正仿宋_GBK" w:cs="楷体_GB2312"/>
          <w:color w:val="000000"/>
          <w:kern w:val="0"/>
          <w:sz w:val="33"/>
          <w:szCs w:val="32"/>
          <w:highlight w:val="none"/>
          <w:shd w:val="clear" w:color="auto" w:fill="FFFFFF"/>
          <w:lang w:val="en-US" w:eastAsia="zh-CN"/>
        </w:rPr>
        <w:t>。“</w:t>
      </w:r>
      <w:r>
        <w:rPr>
          <w:rFonts w:hint="eastAsia" w:ascii="Times New Roman" w:hAnsi="Times New Roman" w:eastAsia="方正仿宋_GBK" w:cs="Times New Roman"/>
          <w:color w:val="000000"/>
          <w:kern w:val="0"/>
          <w:sz w:val="33"/>
          <w:szCs w:val="32"/>
          <w:highlight w:val="none"/>
          <w:shd w:val="clear" w:color="auto" w:fill="FFFFFF"/>
          <w:lang w:val="zh-CN"/>
        </w:rPr>
        <w:t>预算编制质量</w:t>
      </w:r>
      <w:r>
        <w:rPr>
          <w:rFonts w:hint="eastAsia" w:ascii="Times New Roman" w:hAnsi="Times New Roman" w:eastAsia="方正仿宋_GBK" w:cs="楷体_GB2312"/>
          <w:color w:val="000000"/>
          <w:kern w:val="0"/>
          <w:sz w:val="33"/>
          <w:szCs w:val="32"/>
          <w:highlight w:val="none"/>
          <w:shd w:val="clear" w:color="auto" w:fill="FFFFFF"/>
          <w:lang w:val="en-US" w:eastAsia="zh-CN"/>
        </w:rPr>
        <w:t>”指标满分8分，自评得分</w:t>
      </w:r>
      <w:r>
        <w:rPr>
          <w:rFonts w:hint="eastAsia" w:eastAsia="方正仿宋_GBK" w:cs="楷体_GB2312"/>
          <w:color w:val="000000"/>
          <w:kern w:val="0"/>
          <w:sz w:val="33"/>
          <w:szCs w:val="32"/>
          <w:highlight w:val="none"/>
          <w:shd w:val="clear" w:color="auto" w:fill="FFFFFF"/>
          <w:lang w:val="en-US" w:eastAsia="zh-CN"/>
        </w:rPr>
        <w:t>7.97</w:t>
      </w:r>
      <w:r>
        <w:rPr>
          <w:rFonts w:hint="eastAsia" w:ascii="Times New Roman" w:hAnsi="Times New Roman" w:eastAsia="方正仿宋_GBK" w:cs="楷体_GB2312"/>
          <w:color w:val="000000"/>
          <w:kern w:val="0"/>
          <w:sz w:val="33"/>
          <w:szCs w:val="32"/>
          <w:highlight w:val="none"/>
          <w:shd w:val="clear" w:color="auto" w:fill="FFFFFF"/>
          <w:lang w:val="en-US" w:eastAsia="zh-CN"/>
        </w:rPr>
        <w:t>分</w:t>
      </w:r>
      <w:r>
        <w:rPr>
          <w:rFonts w:hint="eastAsia" w:ascii="Times New Roman" w:hAnsi="Times New Roman" w:eastAsia="方正仿宋_GBK" w:cs="楷体_GB2312"/>
          <w:color w:val="000000"/>
          <w:kern w:val="0"/>
          <w:sz w:val="33"/>
          <w:szCs w:val="32"/>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val="0"/>
          <w:bCs w:val="0"/>
          <w:color w:val="000000"/>
          <w:kern w:val="0"/>
          <w:sz w:val="33"/>
          <w:szCs w:val="32"/>
          <w:highlight w:val="none"/>
          <w:shd w:val="clear" w:color="auto" w:fill="FFFFFF"/>
          <w:lang w:val="zh-CN" w:eastAsia="zh-CN"/>
        </w:rPr>
      </w:pPr>
      <w:r>
        <w:rPr>
          <w:rFonts w:hint="eastAsia" w:ascii="Times New Roman" w:hAnsi="Times New Roman" w:eastAsia="方正仿宋_GBK" w:cs="Times New Roman"/>
          <w:b w:val="0"/>
          <w:bCs w:val="0"/>
          <w:color w:val="000000"/>
          <w:kern w:val="0"/>
          <w:sz w:val="33"/>
          <w:szCs w:val="32"/>
          <w:highlight w:val="none"/>
          <w:shd w:val="clear" w:color="auto" w:fill="FFFFFF"/>
          <w:lang w:val="zh-CN" w:eastAsia="zh-CN"/>
        </w:rPr>
        <w:t>（</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2</w:t>
      </w:r>
      <w:r>
        <w:rPr>
          <w:rFonts w:hint="eastAsia" w:ascii="Times New Roman" w:hAnsi="Times New Roman" w:eastAsia="方正仿宋_GBK" w:cs="Times New Roman"/>
          <w:b w:val="0"/>
          <w:bCs w:val="0"/>
          <w:color w:val="000000"/>
          <w:kern w:val="0"/>
          <w:sz w:val="33"/>
          <w:szCs w:val="32"/>
          <w:highlight w:val="none"/>
          <w:shd w:val="clear" w:color="auto" w:fill="FFFFFF"/>
          <w:lang w:val="zh-CN" w:eastAsia="zh-CN"/>
        </w:rPr>
        <w:t>）单位收入统筹</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pP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本部门未有部门统筹自有收入。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b w:val="0"/>
          <w:bCs w:val="0"/>
          <w:color w:val="000000"/>
          <w:kern w:val="0"/>
          <w:sz w:val="33"/>
          <w:szCs w:val="32"/>
          <w:highlight w:val="none"/>
          <w:shd w:val="clear" w:color="auto" w:fill="FFFFFF"/>
          <w:lang w:val="zh-CN" w:eastAsia="zh-CN"/>
        </w:rPr>
      </w:pPr>
      <w:r>
        <w:rPr>
          <w:rFonts w:hint="default" w:ascii="Times New Roman" w:hAnsi="Times New Roman" w:eastAsia="方正仿宋_GBK" w:cs="Times New Roman"/>
          <w:b w:val="0"/>
          <w:bCs w:val="0"/>
          <w:color w:val="000000"/>
          <w:kern w:val="0"/>
          <w:sz w:val="33"/>
          <w:szCs w:val="32"/>
          <w:highlight w:val="none"/>
          <w:shd w:val="clear" w:color="auto" w:fill="FFFFFF"/>
          <w:lang w:val="zh-CN" w:eastAsia="zh-CN"/>
        </w:rPr>
        <w:t>“</w:t>
      </w:r>
      <w:r>
        <w:rPr>
          <w:rFonts w:hint="eastAsia" w:ascii="Times New Roman" w:hAnsi="Times New Roman" w:eastAsia="方正仿宋_GBK" w:cs="Times New Roman"/>
          <w:b w:val="0"/>
          <w:bCs w:val="0"/>
          <w:color w:val="000000"/>
          <w:kern w:val="0"/>
          <w:sz w:val="33"/>
          <w:szCs w:val="32"/>
          <w:highlight w:val="none"/>
          <w:shd w:val="clear" w:color="auto" w:fill="FFFFFF"/>
          <w:lang w:val="zh-CN" w:eastAsia="zh-CN"/>
        </w:rPr>
        <w:t>单位收入统筹</w:t>
      </w:r>
      <w:r>
        <w:rPr>
          <w:rFonts w:hint="default" w:ascii="Times New Roman" w:hAnsi="Times New Roman" w:eastAsia="方正仿宋_GBK" w:cs="Times New Roman"/>
          <w:b w:val="0"/>
          <w:bCs w:val="0"/>
          <w:color w:val="000000"/>
          <w:kern w:val="0"/>
          <w:sz w:val="33"/>
          <w:szCs w:val="32"/>
          <w:highlight w:val="none"/>
          <w:shd w:val="clear" w:color="auto" w:fill="FFFFFF"/>
          <w:lang w:val="zh-CN" w:eastAsia="zh-CN"/>
        </w:rPr>
        <w:t>”指标满分</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4</w:t>
      </w:r>
      <w:r>
        <w:rPr>
          <w:rFonts w:hint="default" w:ascii="Times New Roman" w:hAnsi="Times New Roman" w:eastAsia="方正仿宋_GBK" w:cs="Times New Roman"/>
          <w:b w:val="0"/>
          <w:bCs w:val="0"/>
          <w:color w:val="000000"/>
          <w:kern w:val="0"/>
          <w:sz w:val="33"/>
          <w:szCs w:val="32"/>
          <w:highlight w:val="none"/>
          <w:shd w:val="clear" w:color="auto" w:fill="FFFFFF"/>
          <w:lang w:val="zh-CN" w:eastAsia="zh-CN"/>
        </w:rPr>
        <w:t>分，得分</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4</w:t>
      </w:r>
      <w:r>
        <w:rPr>
          <w:rFonts w:hint="default" w:ascii="Times New Roman" w:hAnsi="Times New Roman" w:eastAsia="方正仿宋_GBK" w:cs="Times New Roman"/>
          <w:b w:val="0"/>
          <w:bCs w:val="0"/>
          <w:color w:val="000000"/>
          <w:kern w:val="0"/>
          <w:sz w:val="33"/>
          <w:szCs w:val="32"/>
          <w:highlight w:val="none"/>
          <w:shd w:val="clear" w:color="auto" w:fill="FFFFFF"/>
          <w:lang w:val="zh-CN"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b w:val="0"/>
          <w:bCs w:val="0"/>
          <w:color w:val="000000"/>
          <w:kern w:val="0"/>
          <w:sz w:val="33"/>
          <w:szCs w:val="32"/>
          <w:highlight w:val="none"/>
          <w:shd w:val="clear" w:color="auto" w:fill="FFFFFF"/>
          <w:lang w:val="en-US" w:eastAsia="zh-CN"/>
        </w:rPr>
      </w:pP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（3）支出执行进度（6分）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pP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2023年1-6月部门项目预算执行数为64.19万元，2023年1-10月部门项目预算执行数为136.68万元，全年部门项目预算数为144.55万元，无预警金额和支出违规金额。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b w:val="0"/>
          <w:bCs w:val="0"/>
          <w:color w:val="000000"/>
          <w:kern w:val="0"/>
          <w:sz w:val="33"/>
          <w:szCs w:val="32"/>
          <w:highlight w:val="none"/>
          <w:shd w:val="clear" w:color="auto" w:fill="FFFFFF"/>
          <w:lang w:val="en-US" w:eastAsia="zh-CN"/>
        </w:rPr>
      </w:pPr>
      <w:r>
        <w:rPr>
          <w:rFonts w:hint="eastAsia" w:ascii="Times New Roman" w:hAnsi="Times New Roman" w:eastAsia="方正仿宋_GBK" w:cs="Times New Roman"/>
          <w:b w:val="0"/>
          <w:bCs w:val="0"/>
          <w:color w:val="000000"/>
          <w:kern w:val="0"/>
          <w:sz w:val="33"/>
          <w:szCs w:val="32"/>
          <w:highlight w:val="none"/>
          <w:shd w:val="clear" w:color="auto" w:fill="FFFFFF"/>
          <w:lang w:val="zh-CN" w:eastAsia="zh-CN"/>
        </w:rPr>
        <w:t>指标满分</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6分，自评得分6分。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pP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（4）预算年终结余（2分）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pP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2023年无预算年终结余。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方正仿宋_GBK" w:cs="Times New Roman"/>
          <w:b w:val="0"/>
          <w:bCs w:val="0"/>
          <w:color w:val="000000"/>
          <w:kern w:val="0"/>
          <w:sz w:val="33"/>
          <w:szCs w:val="32"/>
          <w:highlight w:val="none"/>
          <w:shd w:val="clear" w:color="auto" w:fill="FFFFFF"/>
          <w:lang w:val="zh-CN" w:eastAsia="zh-CN"/>
        </w:rPr>
        <w:t>“</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预算年终结余</w:t>
      </w:r>
      <w:r>
        <w:rPr>
          <w:rFonts w:hint="default" w:ascii="Times New Roman" w:hAnsi="Times New Roman" w:eastAsia="方正仿宋_GBK" w:cs="Times New Roman"/>
          <w:b w:val="0"/>
          <w:bCs w:val="0"/>
          <w:color w:val="000000"/>
          <w:kern w:val="0"/>
          <w:sz w:val="33"/>
          <w:szCs w:val="32"/>
          <w:highlight w:val="none"/>
          <w:shd w:val="clear" w:color="auto" w:fill="FFFFFF"/>
          <w:lang w:val="zh-CN" w:eastAsia="zh-CN"/>
        </w:rPr>
        <w:t>”指标满分</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2</w:t>
      </w:r>
      <w:r>
        <w:rPr>
          <w:rFonts w:hint="default" w:ascii="Times New Roman" w:hAnsi="Times New Roman" w:eastAsia="方正仿宋_GBK" w:cs="Times New Roman"/>
          <w:b w:val="0"/>
          <w:bCs w:val="0"/>
          <w:color w:val="000000"/>
          <w:kern w:val="0"/>
          <w:sz w:val="33"/>
          <w:szCs w:val="32"/>
          <w:highlight w:val="none"/>
          <w:shd w:val="clear" w:color="auto" w:fill="FFFFFF"/>
          <w:lang w:val="zh-CN" w:eastAsia="zh-CN"/>
        </w:rPr>
        <w:t>分</w:t>
      </w:r>
      <w:r>
        <w:rPr>
          <w:rFonts w:hint="eastAsia" w:ascii="Times New Roman" w:hAnsi="Times New Roman" w:eastAsia="方正仿宋_GBK" w:cs="Times New Roman"/>
          <w:b w:val="0"/>
          <w:bCs w:val="0"/>
          <w:color w:val="000000"/>
          <w:kern w:val="0"/>
          <w:sz w:val="33"/>
          <w:szCs w:val="32"/>
          <w:highlight w:val="none"/>
          <w:shd w:val="clear" w:color="auto" w:fill="FFFFFF"/>
          <w:lang w:val="zh-CN" w:eastAsia="zh-CN"/>
        </w:rPr>
        <w:t>，</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得分2分。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pP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（5）严控一般性支出（5分）。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pP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2022年年初预算</w:t>
      </w:r>
      <w:r>
        <w:rPr>
          <w:rFonts w:hint="eastAsia" w:eastAsia="方正仿宋_GBK" w:cs="Times New Roman"/>
          <w:b w:val="0"/>
          <w:bCs w:val="0"/>
          <w:color w:val="000000"/>
          <w:kern w:val="0"/>
          <w:sz w:val="33"/>
          <w:szCs w:val="32"/>
          <w:highlight w:val="none"/>
          <w:shd w:val="clear" w:color="auto" w:fill="FFFFFF"/>
          <w:lang w:val="en-US" w:eastAsia="zh-CN"/>
        </w:rPr>
        <w:t>255.1</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万元，2023年年初预算</w:t>
      </w:r>
      <w:r>
        <w:rPr>
          <w:rFonts w:hint="eastAsia" w:eastAsia="方正仿宋_GBK" w:cs="Times New Roman"/>
          <w:b w:val="0"/>
          <w:bCs w:val="0"/>
          <w:color w:val="000000"/>
          <w:kern w:val="0"/>
          <w:sz w:val="33"/>
          <w:szCs w:val="32"/>
          <w:highlight w:val="none"/>
          <w:shd w:val="clear" w:color="auto" w:fill="FFFFFF"/>
          <w:lang w:val="en-US" w:eastAsia="zh-CN"/>
        </w:rPr>
        <w:t>325.1</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万元，未能实现压减；2022年年终决算</w:t>
      </w:r>
      <w:r>
        <w:rPr>
          <w:rFonts w:hint="eastAsia" w:eastAsia="方正仿宋_GBK" w:cs="Times New Roman"/>
          <w:b w:val="0"/>
          <w:bCs w:val="0"/>
          <w:color w:val="000000"/>
          <w:kern w:val="0"/>
          <w:sz w:val="33"/>
          <w:szCs w:val="32"/>
          <w:highlight w:val="none"/>
          <w:shd w:val="clear" w:color="auto" w:fill="FFFFFF"/>
          <w:lang w:val="en-US" w:eastAsia="zh-CN"/>
        </w:rPr>
        <w:t>417.61</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万元，2023年</w:t>
      </w:r>
      <w:r>
        <w:rPr>
          <w:rFonts w:hint="eastAsia" w:eastAsia="方正仿宋_GBK" w:cs="Times New Roman"/>
          <w:b w:val="0"/>
          <w:bCs w:val="0"/>
          <w:color w:val="000000"/>
          <w:kern w:val="0"/>
          <w:sz w:val="33"/>
          <w:szCs w:val="32"/>
          <w:highlight w:val="none"/>
          <w:shd w:val="clear" w:color="auto" w:fill="FFFFFF"/>
          <w:lang w:val="en-US" w:eastAsia="zh-CN"/>
        </w:rPr>
        <w:t>471.04</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万元，未能实现压减。“严控一般性支出”指标满分5分，自评得分</w:t>
      </w:r>
      <w:r>
        <w:rPr>
          <w:rFonts w:hint="eastAsia" w:eastAsia="方正仿宋_GBK" w:cs="Times New Roman"/>
          <w:b w:val="0"/>
          <w:bCs w:val="0"/>
          <w:color w:val="000000"/>
          <w:kern w:val="0"/>
          <w:sz w:val="33"/>
          <w:szCs w:val="32"/>
          <w:highlight w:val="none"/>
          <w:shd w:val="clear" w:color="auto" w:fill="FFFFFF"/>
          <w:lang w:val="en-US" w:eastAsia="zh-CN"/>
        </w:rPr>
        <w:t>1</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b w:val="0"/>
          <w:bCs w:val="0"/>
          <w:color w:val="000000"/>
          <w:kern w:val="0"/>
          <w:sz w:val="33"/>
          <w:szCs w:val="32"/>
          <w:highlight w:val="none"/>
          <w:shd w:val="clear" w:color="auto" w:fill="FFFFFF"/>
          <w:lang w:val="en-US" w:eastAsia="zh-CN"/>
        </w:rPr>
      </w:pP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“预算管理”指标满分25分，自评得分2</w:t>
      </w:r>
      <w:r>
        <w:rPr>
          <w:rFonts w:hint="eastAsia" w:eastAsia="方正仿宋_GBK" w:cs="Times New Roman"/>
          <w:b w:val="0"/>
          <w:bCs w:val="0"/>
          <w:color w:val="000000"/>
          <w:kern w:val="0"/>
          <w:sz w:val="33"/>
          <w:szCs w:val="32"/>
          <w:highlight w:val="none"/>
          <w:shd w:val="clear" w:color="auto" w:fill="FFFFFF"/>
          <w:lang w:val="en-US" w:eastAsia="zh-CN"/>
        </w:rPr>
        <w:t>0</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w:t>
      </w:r>
      <w:r>
        <w:rPr>
          <w:rFonts w:hint="eastAsia" w:eastAsia="方正仿宋_GBK" w:cs="Times New Roman"/>
          <w:b w:val="0"/>
          <w:bCs w:val="0"/>
          <w:color w:val="000000"/>
          <w:kern w:val="0"/>
          <w:sz w:val="33"/>
          <w:szCs w:val="32"/>
          <w:highlight w:val="none"/>
          <w:shd w:val="clear" w:color="auto" w:fill="FFFFFF"/>
          <w:lang w:val="en-US" w:eastAsia="zh-CN"/>
        </w:rPr>
        <w:t>97</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val="0"/>
          <w:bCs w:val="0"/>
          <w:color w:val="000000"/>
          <w:kern w:val="0"/>
          <w:sz w:val="33"/>
          <w:szCs w:val="32"/>
          <w:highlight w:val="none"/>
          <w:shd w:val="clear" w:color="auto" w:fill="FFFFFF"/>
          <w:lang w:val="zh-CN"/>
        </w:rPr>
      </w:pPr>
      <w:r>
        <w:rPr>
          <w:rFonts w:hint="eastAsia" w:ascii="Times New Roman" w:hAnsi="Times New Roman" w:eastAsia="方正仿宋_GBK" w:cs="楷体_GB2312"/>
          <w:b w:val="0"/>
          <w:bCs w:val="0"/>
          <w:color w:val="000000"/>
          <w:kern w:val="0"/>
          <w:sz w:val="33"/>
          <w:szCs w:val="32"/>
          <w:highlight w:val="none"/>
          <w:shd w:val="clear" w:color="auto" w:fill="FFFFFF"/>
          <w:lang w:val="en-US" w:eastAsia="zh-CN"/>
        </w:rPr>
        <w:t>3.</w:t>
      </w:r>
      <w:r>
        <w:rPr>
          <w:rFonts w:hint="default" w:ascii="Times New Roman" w:hAnsi="Times New Roman" w:eastAsia="方正仿宋_GBK" w:cs="楷体_GB2312"/>
          <w:b w:val="0"/>
          <w:bCs w:val="0"/>
          <w:color w:val="000000"/>
          <w:kern w:val="0"/>
          <w:sz w:val="33"/>
          <w:szCs w:val="32"/>
          <w:highlight w:val="none"/>
          <w:shd w:val="clear" w:color="auto" w:fill="FFFFFF"/>
          <w:lang w:val="zh-CN"/>
        </w:rPr>
        <w:t>财务管理</w:t>
      </w:r>
      <w:r>
        <w:rPr>
          <w:rFonts w:hint="eastAsia" w:ascii="Times New Roman" w:hAnsi="Times New Roman" w:eastAsia="方正仿宋_GBK" w:cs="楷体_GB2312"/>
          <w:b w:val="0"/>
          <w:bCs w:val="0"/>
          <w:color w:val="000000"/>
          <w:kern w:val="0"/>
          <w:sz w:val="33"/>
          <w:szCs w:val="32"/>
          <w:highlight w:val="none"/>
          <w:shd w:val="clear" w:color="auto" w:fill="FFFFFF"/>
          <w:lang w:val="zh-CN"/>
        </w:rPr>
        <w:t>。</w:t>
      </w:r>
      <w:r>
        <w:rPr>
          <w:rFonts w:hint="eastAsia" w:eastAsia="方正仿宋_GBK" w:cs="Times New Roman"/>
          <w:b w:val="0"/>
          <w:bCs w:val="0"/>
          <w:sz w:val="33"/>
          <w:szCs w:val="33"/>
          <w:lang w:val="en-US" w:eastAsia="zh-CN"/>
        </w:rPr>
        <w:t>（10分）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val="0"/>
          <w:i w:val="0"/>
          <w:caps w:val="0"/>
          <w:color w:val="000000"/>
          <w:spacing w:val="0"/>
          <w:sz w:val="33"/>
          <w:szCs w:val="33"/>
          <w:lang w:val="en-US" w:eastAsia="zh-CN"/>
        </w:rPr>
      </w:pPr>
      <w:r>
        <w:rPr>
          <w:rFonts w:hint="eastAsia" w:eastAsia="方正仿宋_GBK" w:cs="Times New Roman"/>
          <w:b w:val="0"/>
          <w:bCs w:val="0"/>
          <w:sz w:val="33"/>
          <w:szCs w:val="33"/>
          <w:lang w:val="en-US" w:eastAsia="zh-CN"/>
        </w:rPr>
        <w:t>（1）财务管理制度（4分）。</w:t>
      </w:r>
      <w:r>
        <w:rPr>
          <w:rFonts w:hint="eastAsia" w:ascii="Times New Roman" w:hAnsi="Times New Roman" w:eastAsia="方正仿宋_GBK" w:cs="Times New Roman"/>
          <w:color w:val="000000"/>
          <w:kern w:val="0"/>
          <w:sz w:val="33"/>
          <w:szCs w:val="32"/>
          <w:highlight w:val="none"/>
          <w:shd w:val="clear" w:color="auto" w:fill="FFFFFF"/>
          <w:lang w:val="zh-CN"/>
        </w:rPr>
        <w:t>本部门已结合实际制定《</w:t>
      </w:r>
      <w:r>
        <w:rPr>
          <w:rFonts w:hint="eastAsia" w:eastAsia="方正仿宋_GBK" w:cs="Times New Roman"/>
          <w:color w:val="000000"/>
          <w:kern w:val="0"/>
          <w:sz w:val="33"/>
          <w:szCs w:val="32"/>
          <w:highlight w:val="none"/>
          <w:shd w:val="clear" w:color="auto" w:fill="FFFFFF"/>
          <w:lang w:val="zh-CN"/>
        </w:rPr>
        <w:t>县信访局</w:t>
      </w:r>
      <w:r>
        <w:rPr>
          <w:rFonts w:hint="eastAsia" w:ascii="Times New Roman" w:hAnsi="Times New Roman" w:eastAsia="方正仿宋_GBK" w:cs="Times New Roman"/>
          <w:color w:val="000000"/>
          <w:kern w:val="0"/>
          <w:sz w:val="33"/>
          <w:szCs w:val="32"/>
          <w:highlight w:val="none"/>
          <w:shd w:val="clear" w:color="auto" w:fill="FFFFFF"/>
          <w:lang w:val="zh-CN"/>
        </w:rPr>
        <w:t>内务管理制度》，</w:t>
      </w:r>
      <w:r>
        <w:rPr>
          <w:rFonts w:hint="default" w:ascii="Times New Roman" w:hAnsi="Times New Roman" w:eastAsia="方正仿宋_GBK" w:cs="Times New Roman"/>
          <w:b w:val="0"/>
          <w:i w:val="0"/>
          <w:caps w:val="0"/>
          <w:color w:val="000000"/>
          <w:spacing w:val="0"/>
          <w:sz w:val="33"/>
          <w:szCs w:val="33"/>
        </w:rPr>
        <w:t>增收节支，压缩公用经费开支，使机关工作逐步实现规范化、科学化</w:t>
      </w:r>
      <w:r>
        <w:rPr>
          <w:rFonts w:hint="eastAsia" w:ascii="Times New Roman" w:hAnsi="Times New Roman" w:eastAsia="方正仿宋_GBK" w:cs="Times New Roman"/>
          <w:b w:val="0"/>
          <w:i w:val="0"/>
          <w:caps w:val="0"/>
          <w:color w:val="000000"/>
          <w:spacing w:val="0"/>
          <w:sz w:val="33"/>
          <w:szCs w:val="33"/>
          <w:lang w:eastAsia="zh-CN"/>
        </w:rPr>
        <w:t>。</w:t>
      </w:r>
      <w:r>
        <w:rPr>
          <w:rFonts w:hint="eastAsia" w:ascii="Times New Roman" w:hAnsi="Times New Roman" w:eastAsia="方正仿宋_GBK" w:cs="Times New Roman"/>
          <w:b w:val="0"/>
          <w:i w:val="0"/>
          <w:caps w:val="0"/>
          <w:color w:val="000000"/>
          <w:spacing w:val="0"/>
          <w:sz w:val="33"/>
          <w:szCs w:val="33"/>
          <w:lang w:val="en-US" w:eastAsia="zh-CN"/>
        </w:rPr>
        <w:t>自评得分4分。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val="0"/>
          <w:i w:val="0"/>
          <w:caps w:val="0"/>
          <w:color w:val="000000"/>
          <w:spacing w:val="0"/>
          <w:sz w:val="33"/>
          <w:szCs w:val="33"/>
          <w:lang w:val="en-US" w:eastAsia="zh-CN"/>
        </w:rPr>
      </w:pPr>
      <w:r>
        <w:rPr>
          <w:rFonts w:hint="eastAsia" w:eastAsia="方正仿宋_GBK" w:cs="Times New Roman"/>
          <w:b w:val="0"/>
          <w:bCs w:val="0"/>
          <w:sz w:val="33"/>
          <w:szCs w:val="33"/>
          <w:lang w:val="en-US" w:eastAsia="zh-CN"/>
        </w:rPr>
        <w:t>（2）财务岗位设置（2分）。</w:t>
      </w:r>
      <w:r>
        <w:rPr>
          <w:rFonts w:hint="eastAsia" w:ascii="Times New Roman" w:hAnsi="Times New Roman" w:eastAsia="方正仿宋_GBK" w:cs="Times New Roman"/>
          <w:b w:val="0"/>
          <w:i w:val="0"/>
          <w:caps w:val="0"/>
          <w:color w:val="000000"/>
          <w:spacing w:val="0"/>
          <w:sz w:val="33"/>
          <w:szCs w:val="33"/>
          <w:lang w:val="en-US" w:eastAsia="zh-CN"/>
        </w:rPr>
        <w:t>部门合理设置财务工作岗位，明确职责权限，并严格实行不相容岗位分离制度，出纳人员不得兼任稽核、会计档案保管和收入、支出、费用、债权债务账目的登记工作。出纳人员仅负责货币资金业务中收入与支付的工作，除此之外的审批、复核等均不得由出纳人员负责。自评得分2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outlineLvl w:val="9"/>
        <w:rPr>
          <w:rFonts w:hint="eastAsia" w:eastAsia="方正仿宋_GBK" w:cs="Times New Roman"/>
          <w:b w:val="0"/>
          <w:bCs w:val="0"/>
          <w:sz w:val="33"/>
          <w:szCs w:val="33"/>
          <w:lang w:val="en-US" w:eastAsia="zh-CN"/>
        </w:rPr>
      </w:pPr>
      <w:r>
        <w:rPr>
          <w:rFonts w:hint="eastAsia" w:eastAsia="方正仿宋_GBK" w:cs="Times New Roman"/>
          <w:b w:val="0"/>
          <w:bCs w:val="0"/>
          <w:sz w:val="33"/>
          <w:szCs w:val="33"/>
          <w:lang w:val="en-US" w:eastAsia="zh-CN"/>
        </w:rPr>
        <w:t>（3）资金使用规范（4分）。部门资金使用严格遵循财务管理制度、内控管理制度等，自评得分4分。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outlineLvl w:val="9"/>
        <w:rPr>
          <w:rFonts w:hint="eastAsia" w:ascii="Times New Roman" w:hAnsi="Times New Roman" w:eastAsia="方正仿宋_GBK" w:cs="Times New Roman"/>
          <w:b w:val="0"/>
          <w:bCs w:val="0"/>
          <w:sz w:val="33"/>
          <w:szCs w:val="33"/>
          <w:lang w:val="zh-CN" w:eastAsia="zh-CN"/>
        </w:rPr>
      </w:pPr>
      <w:r>
        <w:rPr>
          <w:rFonts w:hint="eastAsia" w:ascii="Times New Roman" w:hAnsi="Times New Roman" w:eastAsia="方正仿宋_GBK" w:cs="Times New Roman"/>
          <w:b w:val="0"/>
          <w:bCs w:val="0"/>
          <w:sz w:val="33"/>
          <w:szCs w:val="33"/>
          <w:lang w:val="en-US" w:eastAsia="zh-CN"/>
        </w:rPr>
        <w:t>综上，</w:t>
      </w:r>
      <w:r>
        <w:rPr>
          <w:rFonts w:hint="default" w:ascii="Times New Roman" w:hAnsi="Times New Roman" w:eastAsia="方正仿宋_GBK" w:cs="Times New Roman"/>
          <w:b w:val="0"/>
          <w:bCs w:val="0"/>
          <w:sz w:val="33"/>
          <w:szCs w:val="33"/>
          <w:lang w:val="zh-CN" w:eastAsia="zh-CN"/>
        </w:rPr>
        <w:t>“</w:t>
      </w:r>
      <w:r>
        <w:rPr>
          <w:rFonts w:hint="eastAsia" w:ascii="Times New Roman" w:hAnsi="Times New Roman" w:eastAsia="方正仿宋_GBK" w:cs="Times New Roman"/>
          <w:b w:val="0"/>
          <w:bCs w:val="0"/>
          <w:sz w:val="33"/>
          <w:szCs w:val="33"/>
          <w:lang w:val="en-US" w:eastAsia="zh-CN"/>
        </w:rPr>
        <w:t>财务管理</w:t>
      </w:r>
      <w:r>
        <w:rPr>
          <w:rFonts w:hint="default" w:ascii="Times New Roman" w:hAnsi="Times New Roman" w:eastAsia="方正仿宋_GBK" w:cs="Times New Roman"/>
          <w:b w:val="0"/>
          <w:bCs w:val="0"/>
          <w:sz w:val="33"/>
          <w:szCs w:val="33"/>
          <w:lang w:val="zh-CN" w:eastAsia="zh-CN"/>
        </w:rPr>
        <w:t>”指标满分</w:t>
      </w:r>
      <w:r>
        <w:rPr>
          <w:rFonts w:hint="eastAsia" w:ascii="Times New Roman" w:hAnsi="Times New Roman" w:eastAsia="方正仿宋_GBK" w:cs="Times New Roman"/>
          <w:b w:val="0"/>
          <w:bCs w:val="0"/>
          <w:sz w:val="33"/>
          <w:szCs w:val="33"/>
          <w:lang w:val="en-US" w:eastAsia="zh-CN"/>
        </w:rPr>
        <w:t>10</w:t>
      </w:r>
      <w:r>
        <w:rPr>
          <w:rFonts w:hint="default" w:ascii="Times New Roman" w:hAnsi="Times New Roman" w:eastAsia="方正仿宋_GBK" w:cs="Times New Roman"/>
          <w:b w:val="0"/>
          <w:bCs w:val="0"/>
          <w:sz w:val="33"/>
          <w:szCs w:val="33"/>
          <w:lang w:val="zh-CN" w:eastAsia="zh-CN"/>
        </w:rPr>
        <w:t>分</w:t>
      </w:r>
      <w:r>
        <w:rPr>
          <w:rFonts w:hint="eastAsia" w:ascii="Times New Roman" w:hAnsi="Times New Roman" w:eastAsia="方正仿宋_GBK" w:cs="Times New Roman"/>
          <w:b w:val="0"/>
          <w:bCs w:val="0"/>
          <w:sz w:val="33"/>
          <w:szCs w:val="33"/>
          <w:lang w:val="zh-CN" w:eastAsia="zh-CN"/>
        </w:rPr>
        <w:t>，</w:t>
      </w:r>
      <w:r>
        <w:rPr>
          <w:rFonts w:hint="eastAsia" w:ascii="Times New Roman" w:hAnsi="Times New Roman" w:eastAsia="方正仿宋_GBK" w:cs="Times New Roman"/>
          <w:b w:val="0"/>
          <w:bCs w:val="0"/>
          <w:sz w:val="33"/>
          <w:szCs w:val="33"/>
          <w:lang w:val="en-US" w:eastAsia="zh-CN"/>
        </w:rPr>
        <w:t>得分10分。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b w:val="0"/>
          <w:bCs w:val="0"/>
          <w:color w:val="000000"/>
          <w:sz w:val="33"/>
        </w:rPr>
      </w:pPr>
      <w:r>
        <w:rPr>
          <w:rFonts w:hint="eastAsia" w:ascii="Times New Roman" w:hAnsi="Times New Roman" w:eastAsia="方正仿宋_GBK" w:cs="楷体_GB2312"/>
          <w:b w:val="0"/>
          <w:bCs w:val="0"/>
          <w:color w:val="000000"/>
          <w:kern w:val="0"/>
          <w:sz w:val="33"/>
          <w:szCs w:val="32"/>
          <w:highlight w:val="none"/>
          <w:shd w:val="clear" w:color="auto" w:fill="FFFFFF"/>
          <w:lang w:val="en-US" w:eastAsia="zh-CN"/>
        </w:rPr>
        <w:t>4.</w:t>
      </w:r>
      <w:r>
        <w:rPr>
          <w:rFonts w:hint="default" w:ascii="Times New Roman" w:hAnsi="Times New Roman" w:eastAsia="方正仿宋_GBK" w:cs="楷体_GB2312"/>
          <w:b w:val="0"/>
          <w:bCs w:val="0"/>
          <w:color w:val="000000"/>
          <w:kern w:val="0"/>
          <w:sz w:val="33"/>
          <w:szCs w:val="32"/>
          <w:highlight w:val="none"/>
          <w:shd w:val="clear" w:color="auto" w:fill="FFFFFF"/>
          <w:lang w:val="zh-CN"/>
        </w:rPr>
        <w:t>资产管理</w:t>
      </w:r>
      <w:r>
        <w:rPr>
          <w:rFonts w:hint="eastAsia" w:ascii="Times New Roman" w:hAnsi="Times New Roman" w:eastAsia="方正仿宋_GBK" w:cs="楷体_GB2312"/>
          <w:b w:val="0"/>
          <w:bCs w:val="0"/>
          <w:color w:val="000000"/>
          <w:kern w:val="0"/>
          <w:sz w:val="33"/>
          <w:szCs w:val="32"/>
          <w:highlight w:val="none"/>
          <w:shd w:val="clear" w:color="auto" w:fill="FFFFFF"/>
          <w:lang w:val="zh-CN"/>
        </w:rPr>
        <w:t>。</w:t>
      </w:r>
      <w:r>
        <w:rPr>
          <w:rFonts w:hint="eastAsia" w:eastAsia="方正仿宋_GBK" w:cs="Times New Roman"/>
          <w:b w:val="0"/>
          <w:bCs w:val="0"/>
          <w:sz w:val="33"/>
          <w:szCs w:val="33"/>
          <w:lang w:val="en-US" w:eastAsia="zh-CN"/>
        </w:rPr>
        <w:t>（9分）</w:t>
      </w:r>
    </w:p>
    <w:p>
      <w:pPr>
        <w:keepNext w:val="0"/>
        <w:keepLines w:val="0"/>
        <w:pageBreakBefore w:val="0"/>
        <w:kinsoku/>
        <w:wordWrap/>
        <w:overflowPunct/>
        <w:topLinePunct w:val="0"/>
        <w:autoSpaceDE/>
        <w:autoSpaceDN/>
        <w:bidi w:val="0"/>
        <w:spacing w:line="590" w:lineRule="exact"/>
        <w:ind w:firstLine="660" w:firstLineChars="200"/>
        <w:textAlignment w:val="auto"/>
        <w:rPr>
          <w:rFonts w:hint="eastAsia" w:ascii="Times New Roman" w:hAnsi="Times New Roman" w:eastAsia="方正仿宋_GBK"/>
          <w:color w:val="000000"/>
          <w:sz w:val="33"/>
          <w:lang w:val="en-US" w:eastAsia="zh-CN"/>
        </w:rPr>
      </w:pPr>
      <w:r>
        <w:rPr>
          <w:rFonts w:hint="eastAsia" w:eastAsia="方正仿宋_GBK" w:cs="Times New Roman"/>
          <w:b w:val="0"/>
          <w:bCs w:val="0"/>
          <w:sz w:val="33"/>
          <w:szCs w:val="33"/>
          <w:lang w:val="en-US" w:eastAsia="zh-CN"/>
        </w:rPr>
        <w:t>（1）人均资产变化率（3分）</w:t>
      </w:r>
      <w:r>
        <w:rPr>
          <w:rFonts w:hint="eastAsia" w:ascii="Times New Roman" w:hAnsi="Times New Roman" w:eastAsia="方正仿宋_GBK"/>
          <w:color w:val="000000"/>
          <w:sz w:val="33"/>
        </w:rPr>
        <w:t>合理设置岗位，明确单位资产管理的岗位职责，确保不相容岗位实现相互分离，落实资产管理主体责任，确保单位内部人员各司其职、各负其责</w:t>
      </w:r>
      <w:r>
        <w:rPr>
          <w:rFonts w:hint="eastAsia" w:ascii="Times New Roman" w:hAnsi="Times New Roman" w:eastAsia="方正仿宋_GBK"/>
          <w:color w:val="000000"/>
          <w:sz w:val="33"/>
          <w:lang w:eastAsia="zh-CN"/>
        </w:rPr>
        <w:t>，</w:t>
      </w:r>
      <w:r>
        <w:rPr>
          <w:rFonts w:hint="eastAsia" w:ascii="Times New Roman" w:hAnsi="Times New Roman" w:eastAsia="方正仿宋_GBK"/>
          <w:color w:val="000000"/>
          <w:sz w:val="33"/>
          <w:lang w:val="en-US" w:eastAsia="zh-CN"/>
        </w:rPr>
        <w:t>自评得分3分。</w:t>
      </w:r>
    </w:p>
    <w:p>
      <w:pPr>
        <w:keepNext w:val="0"/>
        <w:keepLines w:val="0"/>
        <w:pageBreakBefore w:val="0"/>
        <w:kinsoku/>
        <w:wordWrap/>
        <w:overflowPunct/>
        <w:topLinePunct w:val="0"/>
        <w:autoSpaceDE/>
        <w:autoSpaceDN/>
        <w:bidi w:val="0"/>
        <w:spacing w:line="590" w:lineRule="exact"/>
        <w:ind w:firstLine="660" w:firstLineChars="200"/>
        <w:textAlignment w:val="auto"/>
        <w:rPr>
          <w:rFonts w:hint="eastAsia" w:ascii="Times New Roman" w:hAnsi="Times New Roman" w:eastAsia="方正仿宋_GBK"/>
          <w:color w:val="000000"/>
          <w:sz w:val="33"/>
          <w:lang w:val="en-US" w:eastAsia="zh-CN"/>
        </w:rPr>
      </w:pPr>
      <w:r>
        <w:rPr>
          <w:rFonts w:hint="eastAsia" w:eastAsia="方正仿宋_GBK" w:cs="Times New Roman"/>
          <w:b w:val="0"/>
          <w:bCs w:val="0"/>
          <w:sz w:val="33"/>
          <w:szCs w:val="33"/>
          <w:lang w:val="en-US" w:eastAsia="zh-CN"/>
        </w:rPr>
        <w:t>（2）资产利用率（3分）。</w:t>
      </w:r>
      <w:r>
        <w:rPr>
          <w:rFonts w:hint="eastAsia" w:ascii="Times New Roman" w:hAnsi="Times New Roman" w:eastAsia="方正仿宋_GBK"/>
          <w:color w:val="000000"/>
          <w:sz w:val="33"/>
        </w:rPr>
        <w:t>建立单位资产配置标准体系，优化新增资产配置管理流程，进一步规范单位资产配置，并且加大资产调控力度，建立行政事业单位超标准配置、低效运转或者长期闲置资产的调剂机制。</w:t>
      </w:r>
      <w:r>
        <w:rPr>
          <w:rFonts w:hint="eastAsia" w:ascii="Times New Roman" w:hAnsi="Times New Roman" w:eastAsia="方正仿宋_GBK"/>
          <w:color w:val="000000"/>
          <w:sz w:val="33"/>
          <w:lang w:val="en-US" w:eastAsia="zh-CN"/>
        </w:rPr>
        <w:t>自评得分3分。</w:t>
      </w:r>
    </w:p>
    <w:p>
      <w:pPr>
        <w:keepNext w:val="0"/>
        <w:keepLines w:val="0"/>
        <w:pageBreakBefore w:val="0"/>
        <w:kinsoku/>
        <w:wordWrap/>
        <w:overflowPunct/>
        <w:topLinePunct w:val="0"/>
        <w:autoSpaceDE/>
        <w:autoSpaceDN/>
        <w:bidi w:val="0"/>
        <w:spacing w:line="590" w:lineRule="exact"/>
        <w:ind w:firstLine="660" w:firstLineChars="200"/>
        <w:textAlignment w:val="auto"/>
        <w:rPr>
          <w:rFonts w:hint="eastAsia" w:ascii="Times New Roman" w:hAnsi="Times New Roman" w:eastAsia="方正仿宋_GBK"/>
          <w:color w:val="000000"/>
          <w:sz w:val="33"/>
          <w:lang w:val="en-US" w:eastAsia="zh-CN"/>
        </w:rPr>
      </w:pPr>
      <w:r>
        <w:rPr>
          <w:rFonts w:hint="eastAsia" w:eastAsia="方正仿宋_GBK" w:cs="Times New Roman"/>
          <w:b w:val="0"/>
          <w:bCs w:val="0"/>
          <w:sz w:val="33"/>
          <w:szCs w:val="33"/>
          <w:lang w:val="en-US" w:eastAsia="zh-CN"/>
        </w:rPr>
        <w:t>（3）资产盘活率（3分）。</w:t>
      </w:r>
      <w:r>
        <w:rPr>
          <w:rFonts w:hint="eastAsia" w:ascii="Times New Roman" w:hAnsi="Times New Roman" w:eastAsia="方正仿宋_GBK"/>
          <w:color w:val="000000"/>
          <w:sz w:val="33"/>
        </w:rPr>
        <w:t>提高单位资产使用管理水平，尤其体现投资管理、资产出租出借、资产共享共用等方面，盘活单位资产，提高资产使用效率。</w:t>
      </w:r>
      <w:r>
        <w:rPr>
          <w:rFonts w:hint="eastAsia" w:ascii="Times New Roman" w:hAnsi="Times New Roman" w:eastAsia="方正仿宋_GBK"/>
          <w:color w:val="000000"/>
          <w:sz w:val="33"/>
          <w:lang w:val="en-US" w:eastAsia="zh-CN"/>
        </w:rPr>
        <w:t>自评得分3分。</w:t>
      </w:r>
    </w:p>
    <w:p>
      <w:pPr>
        <w:keepNext w:val="0"/>
        <w:keepLines w:val="0"/>
        <w:pageBreakBefore w:val="0"/>
        <w:kinsoku/>
        <w:wordWrap/>
        <w:overflowPunct/>
        <w:topLinePunct w:val="0"/>
        <w:autoSpaceDE/>
        <w:autoSpaceDN/>
        <w:bidi w:val="0"/>
        <w:spacing w:line="590" w:lineRule="exact"/>
        <w:ind w:firstLine="480"/>
        <w:textAlignment w:val="auto"/>
        <w:rPr>
          <w:rFonts w:hint="default" w:ascii="Times New Roman" w:hAnsi="Times New Roman" w:eastAsia="方正仿宋_GBK"/>
          <w:color w:val="000000"/>
          <w:sz w:val="33"/>
          <w:lang w:val="en-US" w:eastAsia="zh-CN"/>
        </w:rPr>
      </w:pPr>
      <w:r>
        <w:rPr>
          <w:rFonts w:hint="eastAsia" w:eastAsia="方正仿宋_GBK" w:cs="Times New Roman"/>
          <w:b w:val="0"/>
          <w:bCs w:val="0"/>
          <w:sz w:val="33"/>
          <w:szCs w:val="33"/>
          <w:lang w:val="en-US" w:eastAsia="zh-CN"/>
        </w:rPr>
        <w:t>综上，</w:t>
      </w:r>
      <w:r>
        <w:rPr>
          <w:rFonts w:hint="eastAsia" w:ascii="Times New Roman" w:hAnsi="Times New Roman" w:eastAsia="方正仿宋_GBK"/>
          <w:color w:val="000000"/>
          <w:sz w:val="33"/>
          <w:lang w:val="en-US" w:eastAsia="zh-CN"/>
        </w:rPr>
        <w:t>“资产管理”满分9分，自评得9分。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val="0"/>
          <w:bCs w:val="0"/>
          <w:color w:val="000000"/>
          <w:kern w:val="0"/>
          <w:sz w:val="33"/>
          <w:szCs w:val="32"/>
          <w:highlight w:val="yellow"/>
          <w:shd w:val="clear" w:color="auto" w:fill="FFFFFF"/>
          <w:lang w:val="zh-CN"/>
        </w:rPr>
      </w:pPr>
      <w:r>
        <w:rPr>
          <w:rFonts w:hint="eastAsia" w:ascii="Times New Roman" w:hAnsi="Times New Roman" w:eastAsia="方正仿宋_GBK" w:cs="楷体_GB2312"/>
          <w:b w:val="0"/>
          <w:bCs w:val="0"/>
          <w:color w:val="000000"/>
          <w:kern w:val="0"/>
          <w:sz w:val="33"/>
          <w:szCs w:val="32"/>
          <w:highlight w:val="none"/>
          <w:shd w:val="clear" w:color="auto" w:fill="FFFFFF"/>
          <w:lang w:val="en-US" w:eastAsia="zh-CN"/>
        </w:rPr>
        <w:t>5.</w:t>
      </w:r>
      <w:r>
        <w:rPr>
          <w:rFonts w:hint="default" w:ascii="Times New Roman" w:hAnsi="Times New Roman" w:eastAsia="方正仿宋_GBK" w:cs="楷体_GB2312"/>
          <w:b w:val="0"/>
          <w:bCs w:val="0"/>
          <w:color w:val="000000"/>
          <w:kern w:val="0"/>
          <w:sz w:val="33"/>
          <w:szCs w:val="32"/>
          <w:highlight w:val="none"/>
          <w:shd w:val="clear" w:color="auto" w:fill="FFFFFF"/>
          <w:lang w:val="zh-CN"/>
        </w:rPr>
        <w:t>采购管理</w:t>
      </w:r>
      <w:r>
        <w:rPr>
          <w:rFonts w:hint="eastAsia" w:ascii="Times New Roman" w:hAnsi="Times New Roman" w:eastAsia="方正仿宋_GBK" w:cs="楷体_GB2312"/>
          <w:b w:val="0"/>
          <w:bCs w:val="0"/>
          <w:color w:val="000000"/>
          <w:kern w:val="0"/>
          <w:sz w:val="33"/>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color w:val="000000"/>
          <w:kern w:val="0"/>
          <w:sz w:val="33"/>
          <w:szCs w:val="32"/>
          <w:highlight w:val="none"/>
          <w:shd w:val="clear" w:color="auto" w:fill="FFFFFF"/>
          <w:lang w:val="zh-CN" w:eastAsia="zh-CN"/>
        </w:rPr>
      </w:pPr>
      <w:r>
        <w:rPr>
          <w:rFonts w:hint="eastAsia" w:ascii="Times New Roman" w:hAnsi="Times New Roman" w:eastAsia="方正仿宋_GBK" w:cs="Times New Roman"/>
          <w:color w:val="000000"/>
          <w:kern w:val="0"/>
          <w:sz w:val="33"/>
          <w:szCs w:val="32"/>
          <w:highlight w:val="none"/>
          <w:shd w:val="clear" w:color="auto" w:fill="FFFFFF"/>
          <w:lang w:val="zh-CN"/>
        </w:rPr>
        <w:t>部门严格执行政府采购促进中小企业发展相关管理办法，对适宜由中小企业提供的采购项目和采购包，预留采购份额专门面向中小企业采购，并在采购预算中单独列示。</w:t>
      </w:r>
      <w:r>
        <w:rPr>
          <w:rFonts w:hint="eastAsia" w:ascii="Times New Roman" w:hAnsi="Times New Roman" w:eastAsia="方正仿宋_GBK" w:cs="Times New Roman"/>
          <w:color w:val="000000"/>
          <w:kern w:val="0"/>
          <w:sz w:val="33"/>
          <w:szCs w:val="32"/>
          <w:highlight w:val="none"/>
          <w:shd w:val="clear" w:color="auto" w:fill="FFFFFF"/>
          <w:lang w:val="zh-CN" w:eastAsia="zh-CN"/>
        </w:rPr>
        <w:t>“支持中小企业发展”满分</w:t>
      </w:r>
      <w:r>
        <w:rPr>
          <w:rFonts w:hint="eastAsia" w:ascii="Times New Roman" w:hAnsi="Times New Roman" w:eastAsia="方正仿宋_GBK" w:cs="Times New Roman"/>
          <w:color w:val="000000"/>
          <w:kern w:val="0"/>
          <w:sz w:val="33"/>
          <w:szCs w:val="32"/>
          <w:highlight w:val="none"/>
          <w:shd w:val="clear" w:color="auto" w:fill="FFFFFF"/>
          <w:lang w:val="en-US" w:eastAsia="zh-CN"/>
        </w:rPr>
        <w:t>3分，自评得分3分。</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color w:val="000000"/>
          <w:kern w:val="0"/>
          <w:sz w:val="33"/>
          <w:szCs w:val="32"/>
          <w:highlight w:val="none"/>
          <w:shd w:val="clear" w:color="auto" w:fill="FFFFFF"/>
          <w:lang w:val="en-US" w:eastAsia="zh-CN"/>
        </w:rPr>
      </w:pPr>
      <w:r>
        <w:rPr>
          <w:rFonts w:hint="eastAsia" w:ascii="Times New Roman" w:hAnsi="Times New Roman" w:eastAsia="方正仿宋_GBK" w:cs="Times New Roman"/>
          <w:color w:val="000000"/>
          <w:kern w:val="0"/>
          <w:sz w:val="33"/>
          <w:szCs w:val="32"/>
          <w:highlight w:val="none"/>
          <w:shd w:val="clear" w:color="auto" w:fill="FFFFFF"/>
          <w:lang w:val="zh-CN"/>
        </w:rPr>
        <w:t>办公室按照合同约定及时支付采购资金。采购资金属预算内资金的，实行国库集中支付；采购资金属自筹资金的，由单位自行支付。“采购执行率”满分</w:t>
      </w:r>
      <w:r>
        <w:rPr>
          <w:rFonts w:hint="eastAsia" w:ascii="Times New Roman" w:hAnsi="Times New Roman" w:eastAsia="方正仿宋_GBK" w:cs="Times New Roman"/>
          <w:color w:val="000000"/>
          <w:kern w:val="0"/>
          <w:sz w:val="33"/>
          <w:szCs w:val="32"/>
          <w:highlight w:val="none"/>
          <w:shd w:val="clear" w:color="auto" w:fill="FFFFFF"/>
          <w:lang w:val="en-US" w:eastAsia="zh-CN"/>
        </w:rPr>
        <w:t>3分，自评得分3分。</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color w:val="000000"/>
          <w:kern w:val="0"/>
          <w:sz w:val="33"/>
          <w:szCs w:val="32"/>
          <w:highlight w:val="none"/>
          <w:shd w:val="clear" w:color="auto" w:fill="FFFFFF"/>
          <w:lang w:val="en-US" w:eastAsia="zh-CN"/>
        </w:rPr>
      </w:pPr>
      <w:r>
        <w:rPr>
          <w:rFonts w:hint="eastAsia" w:ascii="Times New Roman" w:hAnsi="Times New Roman" w:eastAsia="方正仿宋_GBK" w:cs="Times New Roman"/>
          <w:color w:val="000000"/>
          <w:kern w:val="0"/>
          <w:sz w:val="33"/>
          <w:szCs w:val="32"/>
          <w:highlight w:val="none"/>
          <w:shd w:val="clear" w:color="auto" w:fill="FFFFFF"/>
          <w:lang w:val="en-US" w:eastAsia="zh-CN"/>
        </w:rPr>
        <w:t>“采购管理”满分6分，自评得6分。</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方正楷体_GBK" w:cs="Times New Roman"/>
          <w:b/>
          <w:bCs/>
          <w:color w:val="000000"/>
          <w:kern w:val="0"/>
          <w:sz w:val="33"/>
          <w:szCs w:val="32"/>
          <w:highlight w:val="none"/>
          <w:shd w:val="clear" w:color="auto" w:fill="FFFFFF"/>
          <w:lang w:val="en-US" w:eastAsia="zh-CN"/>
        </w:rPr>
      </w:pPr>
      <w:r>
        <w:rPr>
          <w:rFonts w:hint="default" w:ascii="Times New Roman" w:hAnsi="Times New Roman" w:eastAsia="方正楷体_GBK" w:cs="Times New Roman"/>
          <w:b/>
          <w:bCs/>
          <w:color w:val="000000"/>
          <w:kern w:val="0"/>
          <w:sz w:val="33"/>
          <w:szCs w:val="32"/>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color w:val="000000"/>
          <w:kern w:val="0"/>
          <w:sz w:val="33"/>
          <w:szCs w:val="32"/>
          <w:highlight w:val="none"/>
          <w:shd w:val="clear" w:color="auto" w:fill="FFFFFF"/>
          <w:lang w:val="zh-CN" w:eastAsia="zh-CN"/>
        </w:rPr>
      </w:pPr>
      <w:r>
        <w:rPr>
          <w:rFonts w:hint="default" w:ascii="Times New Roman" w:hAnsi="Times New Roman" w:eastAsia="方正仿宋_GBK" w:cs="Times New Roman"/>
          <w:color w:val="000000"/>
          <w:kern w:val="0"/>
          <w:sz w:val="33"/>
          <w:szCs w:val="32"/>
          <w:highlight w:val="none"/>
          <w:shd w:val="clear" w:color="auto" w:fill="FFFFFF"/>
          <w:lang w:val="en-US" w:eastAsia="zh-CN"/>
        </w:rPr>
        <w:t>常年项目绩效分析。</w:t>
      </w:r>
      <w:r>
        <w:rPr>
          <w:rFonts w:hint="default" w:ascii="Times New Roman" w:hAnsi="Times New Roman" w:eastAsia="方正仿宋_GBK" w:cs="Times New Roman"/>
          <w:color w:val="000000"/>
          <w:kern w:val="0"/>
          <w:sz w:val="33"/>
          <w:szCs w:val="32"/>
          <w:highlight w:val="none"/>
          <w:shd w:val="clear" w:color="auto" w:fill="FFFFFF"/>
          <w:lang w:val="zh-CN" w:eastAsia="zh-CN"/>
        </w:rPr>
        <w:t>该类项目总数</w:t>
      </w:r>
      <w:r>
        <w:rPr>
          <w:rFonts w:hint="eastAsia" w:eastAsia="方正仿宋_GBK" w:cs="Times New Roman"/>
          <w:color w:val="000000"/>
          <w:kern w:val="0"/>
          <w:sz w:val="33"/>
          <w:szCs w:val="32"/>
          <w:highlight w:val="none"/>
          <w:shd w:val="clear" w:color="auto" w:fill="FFFFFF"/>
          <w:lang w:val="en-US" w:eastAsia="zh-CN"/>
        </w:rPr>
        <w:t>7</w:t>
      </w:r>
      <w:r>
        <w:rPr>
          <w:rFonts w:hint="default" w:ascii="Times New Roman" w:hAnsi="Times New Roman" w:eastAsia="方正仿宋_GBK" w:cs="Times New Roman"/>
          <w:color w:val="000000"/>
          <w:kern w:val="0"/>
          <w:sz w:val="33"/>
          <w:szCs w:val="32"/>
          <w:highlight w:val="none"/>
          <w:shd w:val="clear" w:color="auto" w:fill="FFFFFF"/>
          <w:lang w:val="zh-CN" w:eastAsia="zh-CN"/>
        </w:rPr>
        <w:t>个，涉及预算总金额</w:t>
      </w:r>
      <w:r>
        <w:rPr>
          <w:rFonts w:hint="eastAsia" w:eastAsia="方正仿宋_GBK" w:cs="Times New Roman"/>
          <w:color w:val="000000"/>
          <w:kern w:val="0"/>
          <w:sz w:val="33"/>
          <w:szCs w:val="32"/>
          <w:highlight w:val="none"/>
          <w:shd w:val="clear" w:color="auto" w:fill="FFFFFF"/>
          <w:lang w:val="en-US" w:eastAsia="zh-CN"/>
        </w:rPr>
        <w:t>26.20</w:t>
      </w:r>
      <w:r>
        <w:rPr>
          <w:rFonts w:hint="default" w:ascii="Times New Roman" w:hAnsi="Times New Roman" w:eastAsia="方正仿宋_GBK" w:cs="Times New Roman"/>
          <w:color w:val="000000"/>
          <w:kern w:val="0"/>
          <w:sz w:val="33"/>
          <w:szCs w:val="32"/>
          <w:highlight w:val="none"/>
          <w:shd w:val="clear" w:color="auto" w:fill="FFFFFF"/>
          <w:lang w:val="zh-CN" w:eastAsia="zh-CN"/>
        </w:rPr>
        <w:t>万元，</w:t>
      </w:r>
      <w:r>
        <w:rPr>
          <w:rFonts w:hint="default" w:ascii="Times New Roman" w:hAnsi="Times New Roman" w:eastAsia="方正仿宋_GBK" w:cs="Times New Roman"/>
          <w:color w:val="000000"/>
          <w:kern w:val="0"/>
          <w:sz w:val="33"/>
          <w:szCs w:val="32"/>
          <w:highlight w:val="none"/>
          <w:shd w:val="clear" w:color="auto" w:fill="FFFFFF"/>
          <w:lang w:val="zh-CN"/>
        </w:rPr>
        <w:t>1</w:t>
      </w:r>
      <w:r>
        <w:rPr>
          <w:rFonts w:hint="eastAsia" w:ascii="Times New Roman" w:hAnsi="Times New Roman" w:eastAsia="方正仿宋_GBK" w:cs="Times New Roman"/>
          <w:color w:val="000000"/>
          <w:kern w:val="0"/>
          <w:sz w:val="33"/>
          <w:szCs w:val="32"/>
          <w:highlight w:val="none"/>
          <w:shd w:val="clear" w:color="auto" w:fill="FFFFFF"/>
          <w:lang w:val="zh-CN" w:eastAsia="zh-CN"/>
        </w:rPr>
        <w:t>—</w:t>
      </w:r>
      <w:r>
        <w:rPr>
          <w:rFonts w:hint="default" w:ascii="Times New Roman" w:hAnsi="Times New Roman" w:eastAsia="方正仿宋_GBK" w:cs="Times New Roman"/>
          <w:color w:val="000000"/>
          <w:kern w:val="0"/>
          <w:sz w:val="33"/>
          <w:szCs w:val="32"/>
          <w:highlight w:val="none"/>
          <w:shd w:val="clear" w:color="auto" w:fill="FFFFFF"/>
          <w:lang w:val="zh-CN"/>
        </w:rPr>
        <w:t>1</w:t>
      </w:r>
      <w:r>
        <w:rPr>
          <w:rFonts w:hint="default" w:ascii="Times New Roman" w:hAnsi="Times New Roman" w:eastAsia="方正仿宋_GBK" w:cs="Times New Roman"/>
          <w:color w:val="000000"/>
          <w:kern w:val="0"/>
          <w:sz w:val="33"/>
          <w:szCs w:val="32"/>
          <w:highlight w:val="none"/>
          <w:shd w:val="clear" w:color="auto" w:fill="FFFFFF"/>
          <w:lang w:val="en-US" w:eastAsia="zh-CN"/>
        </w:rPr>
        <w:t>2</w:t>
      </w:r>
      <w:r>
        <w:rPr>
          <w:rFonts w:hint="default" w:ascii="Times New Roman" w:hAnsi="Times New Roman" w:eastAsia="方正仿宋_GBK" w:cs="Times New Roman"/>
          <w:color w:val="000000"/>
          <w:kern w:val="0"/>
          <w:sz w:val="33"/>
          <w:szCs w:val="32"/>
          <w:highlight w:val="none"/>
          <w:shd w:val="clear" w:color="auto" w:fill="FFFFFF"/>
          <w:lang w:val="zh-CN"/>
        </w:rPr>
        <w:t>月预算执行总体进度为</w:t>
      </w:r>
      <w:r>
        <w:rPr>
          <w:rFonts w:hint="eastAsia" w:ascii="Times New Roman" w:hAnsi="Times New Roman" w:eastAsia="方正仿宋_GBK" w:cs="Times New Roman"/>
          <w:color w:val="000000"/>
          <w:kern w:val="0"/>
          <w:sz w:val="33"/>
          <w:szCs w:val="32"/>
          <w:highlight w:val="none"/>
          <w:shd w:val="clear" w:color="auto" w:fill="FFFFFF"/>
          <w:lang w:val="en-US" w:eastAsia="zh-CN"/>
        </w:rPr>
        <w:t>100</w:t>
      </w:r>
      <w:r>
        <w:rPr>
          <w:rFonts w:hint="default" w:ascii="Times New Roman" w:hAnsi="Times New Roman" w:eastAsia="方正仿宋_GBK" w:cs="Times New Roman"/>
          <w:color w:val="000000"/>
          <w:kern w:val="0"/>
          <w:sz w:val="33"/>
          <w:szCs w:val="32"/>
          <w:highlight w:val="none"/>
          <w:shd w:val="clear" w:color="auto" w:fill="FFFFFF"/>
          <w:lang w:val="zh-CN"/>
        </w:rPr>
        <w:t>%，其中：</w:t>
      </w:r>
      <w:r>
        <w:rPr>
          <w:rFonts w:hint="default" w:ascii="Times New Roman" w:hAnsi="Times New Roman" w:eastAsia="方正仿宋_GBK" w:cs="Times New Roman"/>
          <w:color w:val="000000"/>
          <w:kern w:val="0"/>
          <w:sz w:val="33"/>
          <w:szCs w:val="32"/>
          <w:highlight w:val="none"/>
          <w:shd w:val="clear" w:color="auto" w:fill="FFFFFF"/>
          <w:lang w:val="zh-CN" w:eastAsia="zh-CN"/>
        </w:rPr>
        <w:t>预算结余率大于</w:t>
      </w:r>
      <w:r>
        <w:rPr>
          <w:rFonts w:hint="default" w:ascii="Times New Roman" w:hAnsi="Times New Roman" w:eastAsia="方正仿宋_GBK" w:cs="Times New Roman"/>
          <w:color w:val="000000"/>
          <w:kern w:val="0"/>
          <w:sz w:val="33"/>
          <w:szCs w:val="32"/>
          <w:highlight w:val="none"/>
          <w:shd w:val="clear" w:color="auto" w:fill="FFFFFF"/>
          <w:lang w:val="en-US" w:eastAsia="zh-CN"/>
        </w:rPr>
        <w:t>10%</w:t>
      </w:r>
      <w:r>
        <w:rPr>
          <w:rFonts w:hint="default" w:ascii="Times New Roman" w:hAnsi="Times New Roman" w:eastAsia="方正仿宋_GBK" w:cs="Times New Roman"/>
          <w:color w:val="000000"/>
          <w:kern w:val="0"/>
          <w:sz w:val="33"/>
          <w:szCs w:val="32"/>
          <w:highlight w:val="none"/>
          <w:shd w:val="clear" w:color="auto" w:fill="FFFFFF"/>
          <w:lang w:val="zh-CN" w:eastAsia="zh-CN"/>
        </w:rPr>
        <w:t>的项目共计</w:t>
      </w:r>
      <w:r>
        <w:rPr>
          <w:rFonts w:hint="eastAsia" w:ascii="Times New Roman" w:hAnsi="Times New Roman" w:eastAsia="方正仿宋_GBK" w:cs="Times New Roman"/>
          <w:color w:val="000000"/>
          <w:kern w:val="0"/>
          <w:sz w:val="33"/>
          <w:szCs w:val="32"/>
          <w:highlight w:val="none"/>
          <w:shd w:val="clear" w:color="auto" w:fill="FFFFFF"/>
          <w:lang w:val="en-US" w:eastAsia="zh-CN"/>
        </w:rPr>
        <w:t>0</w:t>
      </w:r>
      <w:r>
        <w:rPr>
          <w:rFonts w:hint="default" w:ascii="Times New Roman" w:hAnsi="Times New Roman" w:eastAsia="方正仿宋_GBK" w:cs="Times New Roman"/>
          <w:color w:val="000000"/>
          <w:kern w:val="0"/>
          <w:sz w:val="33"/>
          <w:szCs w:val="32"/>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color w:val="000000"/>
          <w:kern w:val="0"/>
          <w:sz w:val="33"/>
          <w:szCs w:val="32"/>
          <w:highlight w:val="none"/>
          <w:shd w:val="clear" w:color="auto" w:fill="FFFFFF"/>
          <w:lang w:val="zh-CN" w:eastAsia="zh-CN"/>
        </w:rPr>
      </w:pPr>
      <w:r>
        <w:rPr>
          <w:rFonts w:hint="default" w:ascii="Times New Roman" w:hAnsi="Times New Roman" w:eastAsia="方正仿宋_GBK" w:cs="Times New Roman"/>
          <w:color w:val="000000"/>
          <w:kern w:val="0"/>
          <w:sz w:val="33"/>
          <w:szCs w:val="32"/>
          <w:highlight w:val="none"/>
          <w:shd w:val="clear" w:color="auto" w:fill="FFFFFF"/>
          <w:lang w:val="en-US" w:eastAsia="zh-CN"/>
        </w:rPr>
        <w:t>阶段</w:t>
      </w:r>
      <w:r>
        <w:rPr>
          <w:rFonts w:hint="eastAsia" w:ascii="Times New Roman" w:hAnsi="Times New Roman" w:eastAsia="方正仿宋_GBK" w:cs="Times New Roman"/>
          <w:color w:val="000000"/>
          <w:kern w:val="0"/>
          <w:sz w:val="33"/>
          <w:szCs w:val="32"/>
          <w:highlight w:val="none"/>
          <w:shd w:val="clear" w:color="auto" w:fill="FFFFFF"/>
          <w:lang w:val="en-US" w:eastAsia="zh-CN"/>
        </w:rPr>
        <w:t>（</w:t>
      </w:r>
      <w:r>
        <w:rPr>
          <w:rFonts w:hint="default" w:ascii="Times New Roman" w:hAnsi="Times New Roman" w:eastAsia="方正仿宋_GBK" w:cs="Times New Roman"/>
          <w:color w:val="000000"/>
          <w:kern w:val="0"/>
          <w:sz w:val="33"/>
          <w:szCs w:val="32"/>
          <w:highlight w:val="none"/>
          <w:shd w:val="clear" w:color="auto" w:fill="FFFFFF"/>
          <w:lang w:val="en-US" w:eastAsia="zh-CN"/>
        </w:rPr>
        <w:t>一次性</w:t>
      </w:r>
      <w:r>
        <w:rPr>
          <w:rFonts w:hint="eastAsia" w:ascii="Times New Roman" w:hAnsi="Times New Roman" w:eastAsia="方正仿宋_GBK" w:cs="Times New Roman"/>
          <w:color w:val="000000"/>
          <w:kern w:val="0"/>
          <w:sz w:val="33"/>
          <w:szCs w:val="32"/>
          <w:highlight w:val="none"/>
          <w:shd w:val="clear" w:color="auto" w:fill="FFFFFF"/>
          <w:lang w:val="en-US" w:eastAsia="zh-CN"/>
        </w:rPr>
        <w:t>）</w:t>
      </w:r>
      <w:r>
        <w:rPr>
          <w:rFonts w:hint="default" w:ascii="Times New Roman" w:hAnsi="Times New Roman" w:eastAsia="方正仿宋_GBK" w:cs="Times New Roman"/>
          <w:color w:val="000000"/>
          <w:kern w:val="0"/>
          <w:sz w:val="33"/>
          <w:szCs w:val="32"/>
          <w:highlight w:val="none"/>
          <w:shd w:val="clear" w:color="auto" w:fill="FFFFFF"/>
          <w:lang w:val="en-US" w:eastAsia="zh-CN"/>
        </w:rPr>
        <w:t>项目绩效分析。</w:t>
      </w:r>
      <w:r>
        <w:rPr>
          <w:rFonts w:hint="default" w:ascii="Times New Roman" w:hAnsi="Times New Roman" w:eastAsia="方正仿宋_GBK" w:cs="Times New Roman"/>
          <w:color w:val="000000"/>
          <w:kern w:val="0"/>
          <w:sz w:val="33"/>
          <w:szCs w:val="32"/>
          <w:highlight w:val="none"/>
          <w:shd w:val="clear" w:color="auto" w:fill="FFFFFF"/>
          <w:lang w:val="zh-CN" w:eastAsia="zh-CN"/>
        </w:rPr>
        <w:t>该类项目总数</w:t>
      </w:r>
      <w:r>
        <w:rPr>
          <w:rFonts w:hint="eastAsia" w:ascii="Times New Roman" w:hAnsi="Times New Roman" w:eastAsia="方正仿宋_GBK" w:cs="Times New Roman"/>
          <w:color w:val="000000"/>
          <w:kern w:val="0"/>
          <w:sz w:val="33"/>
          <w:szCs w:val="32"/>
          <w:highlight w:val="none"/>
          <w:shd w:val="clear" w:color="auto" w:fill="FFFFFF"/>
          <w:lang w:val="en-US" w:eastAsia="zh-CN"/>
        </w:rPr>
        <w:t>5</w:t>
      </w:r>
      <w:r>
        <w:rPr>
          <w:rFonts w:hint="default" w:ascii="Times New Roman" w:hAnsi="Times New Roman" w:eastAsia="方正仿宋_GBK" w:cs="Times New Roman"/>
          <w:color w:val="000000"/>
          <w:kern w:val="0"/>
          <w:sz w:val="33"/>
          <w:szCs w:val="32"/>
          <w:highlight w:val="none"/>
          <w:shd w:val="clear" w:color="auto" w:fill="FFFFFF"/>
          <w:lang w:val="zh-CN" w:eastAsia="zh-CN"/>
        </w:rPr>
        <w:t>个，涉及预算总金额</w:t>
      </w:r>
      <w:r>
        <w:rPr>
          <w:rFonts w:hint="eastAsia" w:eastAsia="方正仿宋_GBK" w:cs="Times New Roman"/>
          <w:color w:val="000000"/>
          <w:kern w:val="0"/>
          <w:sz w:val="33"/>
          <w:szCs w:val="32"/>
          <w:highlight w:val="none"/>
          <w:shd w:val="clear" w:color="auto" w:fill="FFFFFF"/>
          <w:lang w:val="en-US" w:eastAsia="zh-CN"/>
        </w:rPr>
        <w:t>118.35</w:t>
      </w:r>
      <w:r>
        <w:rPr>
          <w:rFonts w:hint="default" w:ascii="Times New Roman" w:hAnsi="Times New Roman" w:eastAsia="方正仿宋_GBK" w:cs="Times New Roman"/>
          <w:color w:val="000000"/>
          <w:kern w:val="0"/>
          <w:sz w:val="33"/>
          <w:szCs w:val="32"/>
          <w:highlight w:val="none"/>
          <w:shd w:val="clear" w:color="auto" w:fill="FFFFFF"/>
          <w:lang w:val="zh-CN" w:eastAsia="zh-CN"/>
        </w:rPr>
        <w:t>万元，</w:t>
      </w:r>
      <w:r>
        <w:rPr>
          <w:rFonts w:hint="default" w:ascii="Times New Roman" w:hAnsi="Times New Roman" w:eastAsia="方正仿宋_GBK" w:cs="Times New Roman"/>
          <w:color w:val="000000"/>
          <w:kern w:val="0"/>
          <w:sz w:val="33"/>
          <w:szCs w:val="32"/>
          <w:highlight w:val="none"/>
          <w:shd w:val="clear" w:color="auto" w:fill="FFFFFF"/>
          <w:lang w:val="zh-CN"/>
        </w:rPr>
        <w:t>1</w:t>
      </w:r>
      <w:r>
        <w:rPr>
          <w:rFonts w:hint="eastAsia" w:ascii="Times New Roman" w:hAnsi="Times New Roman" w:eastAsia="方正仿宋_GBK" w:cs="Times New Roman"/>
          <w:color w:val="000000"/>
          <w:kern w:val="0"/>
          <w:sz w:val="33"/>
          <w:szCs w:val="32"/>
          <w:highlight w:val="none"/>
          <w:shd w:val="clear" w:color="auto" w:fill="FFFFFF"/>
          <w:lang w:val="zh-CN" w:eastAsia="zh-CN"/>
        </w:rPr>
        <w:t>—</w:t>
      </w:r>
      <w:r>
        <w:rPr>
          <w:rFonts w:hint="default" w:ascii="Times New Roman" w:hAnsi="Times New Roman" w:eastAsia="方正仿宋_GBK" w:cs="Times New Roman"/>
          <w:color w:val="000000"/>
          <w:kern w:val="0"/>
          <w:sz w:val="33"/>
          <w:szCs w:val="32"/>
          <w:highlight w:val="none"/>
          <w:shd w:val="clear" w:color="auto" w:fill="FFFFFF"/>
          <w:lang w:val="zh-CN"/>
        </w:rPr>
        <w:t>1</w:t>
      </w:r>
      <w:r>
        <w:rPr>
          <w:rFonts w:hint="default" w:ascii="Times New Roman" w:hAnsi="Times New Roman" w:eastAsia="方正仿宋_GBK" w:cs="Times New Roman"/>
          <w:color w:val="000000"/>
          <w:kern w:val="0"/>
          <w:sz w:val="33"/>
          <w:szCs w:val="32"/>
          <w:highlight w:val="none"/>
          <w:shd w:val="clear" w:color="auto" w:fill="FFFFFF"/>
          <w:lang w:val="en-US" w:eastAsia="zh-CN"/>
        </w:rPr>
        <w:t>2</w:t>
      </w:r>
      <w:r>
        <w:rPr>
          <w:rFonts w:hint="default" w:ascii="Times New Roman" w:hAnsi="Times New Roman" w:eastAsia="方正仿宋_GBK" w:cs="Times New Roman"/>
          <w:color w:val="000000"/>
          <w:kern w:val="0"/>
          <w:sz w:val="33"/>
          <w:szCs w:val="32"/>
          <w:highlight w:val="none"/>
          <w:shd w:val="clear" w:color="auto" w:fill="FFFFFF"/>
          <w:lang w:val="zh-CN"/>
        </w:rPr>
        <w:t>月预算执行总体进度为</w:t>
      </w:r>
      <w:r>
        <w:rPr>
          <w:rFonts w:hint="eastAsia" w:ascii="Times New Roman" w:hAnsi="Times New Roman" w:eastAsia="方正仿宋_GBK" w:cs="Times New Roman"/>
          <w:color w:val="000000"/>
          <w:kern w:val="0"/>
          <w:sz w:val="33"/>
          <w:szCs w:val="32"/>
          <w:highlight w:val="none"/>
          <w:shd w:val="clear" w:color="auto" w:fill="FFFFFF"/>
          <w:lang w:val="en-US" w:eastAsia="zh-CN"/>
        </w:rPr>
        <w:t>100</w:t>
      </w:r>
      <w:r>
        <w:rPr>
          <w:rFonts w:hint="default" w:ascii="Times New Roman" w:hAnsi="Times New Roman" w:eastAsia="方正仿宋_GBK" w:cs="Times New Roman"/>
          <w:color w:val="000000"/>
          <w:kern w:val="0"/>
          <w:sz w:val="33"/>
          <w:szCs w:val="32"/>
          <w:highlight w:val="none"/>
          <w:shd w:val="clear" w:color="auto" w:fill="FFFFFF"/>
          <w:lang w:val="zh-CN"/>
        </w:rPr>
        <w:t>%，其中：</w:t>
      </w:r>
      <w:r>
        <w:rPr>
          <w:rFonts w:hint="default" w:ascii="Times New Roman" w:hAnsi="Times New Roman" w:eastAsia="方正仿宋_GBK" w:cs="Times New Roman"/>
          <w:color w:val="000000"/>
          <w:kern w:val="0"/>
          <w:sz w:val="33"/>
          <w:szCs w:val="32"/>
          <w:highlight w:val="none"/>
          <w:shd w:val="clear" w:color="auto" w:fill="FFFFFF"/>
          <w:lang w:val="zh-CN" w:eastAsia="zh-CN"/>
        </w:rPr>
        <w:t>预算结余率大于</w:t>
      </w:r>
      <w:r>
        <w:rPr>
          <w:rFonts w:hint="default" w:ascii="Times New Roman" w:hAnsi="Times New Roman" w:eastAsia="方正仿宋_GBK" w:cs="Times New Roman"/>
          <w:color w:val="000000"/>
          <w:kern w:val="0"/>
          <w:sz w:val="33"/>
          <w:szCs w:val="32"/>
          <w:highlight w:val="none"/>
          <w:shd w:val="clear" w:color="auto" w:fill="FFFFFF"/>
          <w:lang w:val="en-US" w:eastAsia="zh-CN"/>
        </w:rPr>
        <w:t>10%</w:t>
      </w:r>
      <w:r>
        <w:rPr>
          <w:rFonts w:hint="default" w:ascii="Times New Roman" w:hAnsi="Times New Roman" w:eastAsia="方正仿宋_GBK" w:cs="Times New Roman"/>
          <w:color w:val="000000"/>
          <w:kern w:val="0"/>
          <w:sz w:val="33"/>
          <w:szCs w:val="32"/>
          <w:highlight w:val="none"/>
          <w:shd w:val="clear" w:color="auto" w:fill="FFFFFF"/>
          <w:lang w:val="zh-CN" w:eastAsia="zh-CN"/>
        </w:rPr>
        <w:t>的项目共计</w:t>
      </w:r>
      <w:r>
        <w:rPr>
          <w:rFonts w:hint="eastAsia" w:ascii="Times New Roman" w:hAnsi="Times New Roman" w:eastAsia="方正仿宋_GBK" w:cs="Times New Roman"/>
          <w:color w:val="000000"/>
          <w:kern w:val="0"/>
          <w:sz w:val="33"/>
          <w:szCs w:val="32"/>
          <w:highlight w:val="none"/>
          <w:shd w:val="clear" w:color="auto" w:fill="FFFFFF"/>
          <w:lang w:val="en-US" w:eastAsia="zh-CN"/>
        </w:rPr>
        <w:t>0</w:t>
      </w:r>
      <w:r>
        <w:rPr>
          <w:rFonts w:hint="default" w:ascii="Times New Roman" w:hAnsi="Times New Roman" w:eastAsia="方正仿宋_GBK" w:cs="Times New Roman"/>
          <w:color w:val="000000"/>
          <w:kern w:val="0"/>
          <w:sz w:val="33"/>
          <w:szCs w:val="32"/>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楷体_GB2312"/>
          <w:b w:val="0"/>
          <w:bCs w:val="0"/>
          <w:color w:val="000000"/>
          <w:kern w:val="0"/>
          <w:sz w:val="33"/>
          <w:szCs w:val="32"/>
          <w:highlight w:val="none"/>
          <w:shd w:val="clear" w:color="auto" w:fill="FFFFFF"/>
          <w:lang w:val="zh-CN"/>
        </w:rPr>
      </w:pPr>
      <w:r>
        <w:rPr>
          <w:rFonts w:hint="eastAsia" w:ascii="Times New Roman" w:hAnsi="Times New Roman" w:eastAsia="方正仿宋_GBK" w:cs="楷体_GB2312"/>
          <w:b w:val="0"/>
          <w:bCs w:val="0"/>
          <w:color w:val="000000"/>
          <w:kern w:val="0"/>
          <w:sz w:val="33"/>
          <w:szCs w:val="32"/>
          <w:highlight w:val="none"/>
          <w:shd w:val="clear" w:color="auto" w:fill="FFFFFF"/>
          <w:lang w:val="en-US" w:eastAsia="zh-CN"/>
        </w:rPr>
        <w:t>1.</w:t>
      </w:r>
      <w:r>
        <w:rPr>
          <w:rFonts w:hint="eastAsia" w:ascii="Times New Roman" w:hAnsi="Times New Roman" w:eastAsia="方正仿宋_GBK" w:cs="楷体_GB2312"/>
          <w:b w:val="0"/>
          <w:bCs w:val="0"/>
          <w:color w:val="000000"/>
          <w:kern w:val="0"/>
          <w:sz w:val="33"/>
          <w:szCs w:val="32"/>
          <w:highlight w:val="none"/>
          <w:shd w:val="clear" w:color="auto" w:fill="FFFFFF"/>
          <w:lang w:val="zh-CN"/>
        </w:rPr>
        <w:t>项目决策。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color w:val="000000"/>
          <w:kern w:val="0"/>
          <w:sz w:val="33"/>
          <w:szCs w:val="32"/>
          <w:highlight w:val="none"/>
          <w:shd w:val="clear" w:color="auto" w:fill="FFFFFF"/>
          <w:lang w:val="en-US" w:eastAsia="zh-CN"/>
        </w:rPr>
      </w:pPr>
      <w:r>
        <w:rPr>
          <w:rFonts w:hint="eastAsia" w:ascii="Times New Roman" w:hAnsi="Times New Roman" w:eastAsia="方正仿宋_GBK" w:cs="Times New Roman"/>
          <w:color w:val="000000"/>
          <w:kern w:val="0"/>
          <w:sz w:val="33"/>
          <w:szCs w:val="32"/>
          <w:highlight w:val="none"/>
          <w:shd w:val="clear" w:color="auto" w:fill="FFFFFF"/>
          <w:lang w:val="zh-CN"/>
        </w:rPr>
        <w:t>年度预算项目事前绩效评估工作通过线上与线下相结合方式开展。按照有关规定和工作安排，我单位开展自行评估，通过自行成立方式组建评估组，通过收集被评估项目相关基础资料，并查阅资料、收集数据信息等，深入论证分析后，形成绩效评估报告，根据事前绩效评估报告设立部门预算项目。“决策程序”指标满分</w:t>
      </w:r>
      <w:r>
        <w:rPr>
          <w:rFonts w:hint="eastAsia" w:ascii="Times New Roman" w:hAnsi="Times New Roman" w:eastAsia="方正仿宋_GBK" w:cs="Times New Roman"/>
          <w:color w:val="000000"/>
          <w:kern w:val="0"/>
          <w:sz w:val="33"/>
          <w:szCs w:val="32"/>
          <w:highlight w:val="none"/>
          <w:shd w:val="clear" w:color="auto" w:fill="FFFFFF"/>
          <w:lang w:val="en-US" w:eastAsia="zh-CN"/>
        </w:rPr>
        <w:t>4分，自评得分4分。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color w:val="000000"/>
          <w:kern w:val="0"/>
          <w:sz w:val="33"/>
          <w:szCs w:val="32"/>
          <w:highlight w:val="none"/>
          <w:shd w:val="clear" w:color="auto" w:fill="FFFFFF"/>
          <w:lang w:val="en-US" w:eastAsia="zh-CN"/>
        </w:rPr>
      </w:pPr>
      <w:r>
        <w:rPr>
          <w:rFonts w:hint="eastAsia" w:ascii="Times New Roman" w:hAnsi="Times New Roman" w:eastAsia="方正仿宋_GBK" w:cs="Times New Roman"/>
          <w:color w:val="000000"/>
          <w:kern w:val="0"/>
          <w:sz w:val="33"/>
          <w:szCs w:val="32"/>
          <w:highlight w:val="none"/>
          <w:shd w:val="clear" w:color="auto" w:fill="FFFFFF"/>
          <w:lang w:val="en-US" w:eastAsia="zh-CN"/>
        </w:rPr>
        <w:t>部门预算项目绩效目标与计划期内的任务量、预算安排的资金量相</w:t>
      </w:r>
      <w:r>
        <w:rPr>
          <w:rFonts w:hint="default" w:eastAsia="方正仿宋_GBK" w:cs="Times New Roman"/>
          <w:color w:val="000000"/>
          <w:kern w:val="0"/>
          <w:sz w:val="33"/>
          <w:szCs w:val="32"/>
          <w:highlight w:val="none"/>
          <w:shd w:val="clear" w:color="auto" w:fill="FFFFFF"/>
          <w:lang w:val="en" w:eastAsia="zh-CN"/>
        </w:rPr>
        <w:t>匹配</w:t>
      </w:r>
      <w:r>
        <w:rPr>
          <w:rFonts w:hint="eastAsia" w:ascii="Times New Roman" w:hAnsi="Times New Roman" w:eastAsia="方正仿宋_GBK" w:cs="Times New Roman"/>
          <w:color w:val="000000"/>
          <w:kern w:val="0"/>
          <w:sz w:val="33"/>
          <w:szCs w:val="32"/>
          <w:highlight w:val="none"/>
          <w:shd w:val="clear" w:color="auto" w:fill="FFFFFF"/>
          <w:lang w:val="en-US" w:eastAsia="zh-CN"/>
        </w:rPr>
        <w:t>情况，绩效目标设置科学合理、规范完整、量化细化、预算匹配，“目标设置”指标满分4分，自评得分4分。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color w:val="000000"/>
          <w:kern w:val="0"/>
          <w:sz w:val="33"/>
          <w:szCs w:val="32"/>
          <w:highlight w:val="none"/>
          <w:shd w:val="clear" w:color="auto" w:fill="FFFFFF"/>
          <w:lang w:val="en-US" w:eastAsia="zh-CN"/>
        </w:rPr>
      </w:pPr>
      <w:r>
        <w:rPr>
          <w:rFonts w:hint="eastAsia" w:ascii="Times New Roman" w:hAnsi="Times New Roman" w:eastAsia="方正仿宋_GBK" w:cs="Times New Roman"/>
          <w:color w:val="000000"/>
          <w:kern w:val="0"/>
          <w:sz w:val="33"/>
          <w:szCs w:val="32"/>
          <w:highlight w:val="none"/>
          <w:shd w:val="clear" w:color="auto" w:fill="FFFFFF"/>
          <w:lang w:val="en-US" w:eastAsia="zh-CN"/>
        </w:rPr>
        <w:t>部门预算项目在规定时间完成项目入库，“项目入库”指标满分4分，自评得分4分。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color w:val="000000"/>
          <w:kern w:val="0"/>
          <w:sz w:val="33"/>
          <w:szCs w:val="32"/>
          <w:highlight w:val="none"/>
          <w:shd w:val="clear" w:color="auto" w:fill="FFFFFF"/>
          <w:lang w:val="en-US" w:eastAsia="zh-CN"/>
        </w:rPr>
      </w:pPr>
      <w:r>
        <w:rPr>
          <w:rFonts w:hint="eastAsia" w:ascii="Times New Roman" w:hAnsi="Times New Roman" w:eastAsia="方正仿宋_GBK" w:cs="Times New Roman"/>
          <w:color w:val="000000"/>
          <w:kern w:val="0"/>
          <w:sz w:val="33"/>
          <w:szCs w:val="32"/>
          <w:highlight w:val="none"/>
          <w:shd w:val="clear" w:color="auto" w:fill="FFFFFF"/>
          <w:lang w:val="en-US" w:eastAsia="zh-CN"/>
        </w:rPr>
        <w:t>“项目决策”指标满分12分，自评得分12分。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b w:val="0"/>
          <w:bCs w:val="0"/>
          <w:color w:val="000000"/>
          <w:kern w:val="0"/>
          <w:sz w:val="33"/>
          <w:szCs w:val="32"/>
          <w:highlight w:val="none"/>
          <w:shd w:val="clear" w:color="auto" w:fill="FFFFFF"/>
          <w:lang w:val="zh-CN"/>
        </w:rPr>
      </w:pPr>
      <w:r>
        <w:rPr>
          <w:rFonts w:hint="eastAsia" w:ascii="Times New Roman" w:hAnsi="Times New Roman" w:eastAsia="方正仿宋_GBK" w:cs="楷体_GB2312"/>
          <w:b w:val="0"/>
          <w:bCs w:val="0"/>
          <w:color w:val="000000"/>
          <w:kern w:val="0"/>
          <w:sz w:val="33"/>
          <w:szCs w:val="32"/>
          <w:highlight w:val="none"/>
          <w:shd w:val="clear" w:color="auto" w:fill="FFFFFF"/>
          <w:lang w:val="en-US" w:eastAsia="zh-CN"/>
        </w:rPr>
        <w:t>2.项目执行</w:t>
      </w:r>
      <w:r>
        <w:rPr>
          <w:rFonts w:hint="eastAsia" w:ascii="Times New Roman" w:hAnsi="Times New Roman" w:eastAsia="方正仿宋_GBK" w:cs="楷体_GB2312"/>
          <w:b w:val="0"/>
          <w:bCs w:val="0"/>
          <w:color w:val="000000"/>
          <w:kern w:val="0"/>
          <w:sz w:val="33"/>
          <w:szCs w:val="32"/>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color w:val="000000"/>
          <w:kern w:val="0"/>
          <w:sz w:val="33"/>
          <w:szCs w:val="32"/>
          <w:highlight w:val="none"/>
          <w:shd w:val="clear" w:color="auto" w:fill="FFFFFF"/>
          <w:lang w:val="en-US" w:eastAsia="zh-CN"/>
        </w:rPr>
      </w:pPr>
      <w:r>
        <w:rPr>
          <w:rFonts w:hint="eastAsia" w:ascii="Times New Roman" w:hAnsi="Times New Roman" w:eastAsia="方正仿宋_GBK" w:cs="Times New Roman"/>
          <w:color w:val="000000"/>
          <w:kern w:val="0"/>
          <w:sz w:val="33"/>
          <w:szCs w:val="32"/>
          <w:highlight w:val="none"/>
          <w:shd w:val="clear" w:color="auto" w:fill="FFFFFF"/>
          <w:lang w:val="zh-CN"/>
        </w:rPr>
        <w:t>部门预算项目实际列支内容与绩效目标设置方向相符，“执行同向”指标满分</w:t>
      </w:r>
      <w:r>
        <w:rPr>
          <w:rFonts w:hint="eastAsia" w:ascii="Times New Roman" w:hAnsi="Times New Roman" w:eastAsia="方正仿宋_GBK" w:cs="Times New Roman"/>
          <w:color w:val="000000"/>
          <w:kern w:val="0"/>
          <w:sz w:val="33"/>
          <w:szCs w:val="32"/>
          <w:highlight w:val="none"/>
          <w:shd w:val="clear" w:color="auto" w:fill="FFFFFF"/>
          <w:lang w:val="en-US" w:eastAsia="zh-CN"/>
        </w:rPr>
        <w:t>4分，自评得分4分</w:t>
      </w:r>
      <w:r>
        <w:rPr>
          <w:rFonts w:hint="eastAsia" w:ascii="Times New Roman" w:hAnsi="Times New Roman" w:eastAsia="方正仿宋_GBK" w:cs="Times New Roman"/>
          <w:color w:val="000000"/>
          <w:kern w:val="0"/>
          <w:sz w:val="33"/>
          <w:szCs w:val="32"/>
          <w:highlight w:val="none"/>
          <w:shd w:val="clear" w:color="auto" w:fill="FFFFFF"/>
          <w:lang w:val="zh-CN"/>
        </w:rPr>
        <w:t>；根据资金项目实际执行情况，对部门预算项目采取对应调整措施，增加或减少预算资金，“项目调整”指标满分</w:t>
      </w:r>
      <w:r>
        <w:rPr>
          <w:rFonts w:hint="eastAsia" w:ascii="Times New Roman" w:hAnsi="Times New Roman" w:eastAsia="方正仿宋_GBK" w:cs="Times New Roman"/>
          <w:color w:val="000000"/>
          <w:kern w:val="0"/>
          <w:sz w:val="33"/>
          <w:szCs w:val="32"/>
          <w:highlight w:val="none"/>
          <w:shd w:val="clear" w:color="auto" w:fill="FFFFFF"/>
          <w:lang w:val="en-US" w:eastAsia="zh-CN"/>
        </w:rPr>
        <w:t>4分，自评得分4分</w:t>
      </w:r>
      <w:r>
        <w:rPr>
          <w:rFonts w:hint="eastAsia" w:ascii="Times New Roman" w:hAnsi="Times New Roman" w:eastAsia="方正仿宋_GBK" w:cs="Times New Roman"/>
          <w:color w:val="000000"/>
          <w:kern w:val="0"/>
          <w:sz w:val="33"/>
          <w:szCs w:val="32"/>
          <w:highlight w:val="none"/>
          <w:shd w:val="clear" w:color="auto" w:fill="FFFFFF"/>
          <w:lang w:val="zh-CN"/>
        </w:rPr>
        <w:t>；</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2023年资金结转和结余0万元，部门预算项目预算执行均完成，“执行结果”</w:t>
      </w:r>
      <w:r>
        <w:rPr>
          <w:rFonts w:hint="eastAsia" w:ascii="Times New Roman" w:hAnsi="Times New Roman" w:eastAsia="方正仿宋_GBK" w:cs="Times New Roman"/>
          <w:color w:val="000000"/>
          <w:kern w:val="0"/>
          <w:sz w:val="33"/>
          <w:szCs w:val="32"/>
          <w:highlight w:val="none"/>
          <w:shd w:val="clear" w:color="auto" w:fill="FFFFFF"/>
          <w:lang w:val="zh-CN"/>
        </w:rPr>
        <w:t>指标满分</w:t>
      </w:r>
      <w:r>
        <w:rPr>
          <w:rFonts w:hint="eastAsia" w:ascii="Times New Roman" w:hAnsi="Times New Roman" w:eastAsia="方正仿宋_GBK" w:cs="Times New Roman"/>
          <w:color w:val="000000"/>
          <w:kern w:val="0"/>
          <w:sz w:val="33"/>
          <w:szCs w:val="32"/>
          <w:highlight w:val="none"/>
          <w:shd w:val="clear" w:color="auto" w:fill="FFFFFF"/>
          <w:lang w:val="en-US" w:eastAsia="zh-CN"/>
        </w:rPr>
        <w:t>4分，自评得分4分。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color w:val="000000"/>
          <w:kern w:val="0"/>
          <w:sz w:val="33"/>
          <w:szCs w:val="32"/>
          <w:highlight w:val="none"/>
          <w:shd w:val="clear" w:color="auto" w:fill="FFFFFF"/>
          <w:lang w:val="zh-CN" w:eastAsia="zh-CN"/>
        </w:rPr>
      </w:pPr>
      <w:r>
        <w:rPr>
          <w:rFonts w:hint="eastAsia" w:ascii="Times New Roman" w:hAnsi="Times New Roman" w:eastAsia="方正仿宋_GBK" w:cs="Times New Roman"/>
          <w:b w:val="0"/>
          <w:bCs w:val="0"/>
          <w:color w:val="000000"/>
          <w:kern w:val="0"/>
          <w:sz w:val="33"/>
          <w:szCs w:val="32"/>
          <w:highlight w:val="none"/>
          <w:shd w:val="clear" w:color="auto" w:fill="FFFFFF"/>
          <w:lang w:val="zh-CN" w:eastAsia="zh-CN"/>
        </w:rPr>
        <w:t>“</w:t>
      </w:r>
      <w:r>
        <w:rPr>
          <w:rFonts w:hint="eastAsia" w:ascii="Times New Roman" w:hAnsi="Times New Roman" w:eastAsia="方正仿宋_GBK" w:cs="楷体_GB2312"/>
          <w:b w:val="0"/>
          <w:bCs w:val="0"/>
          <w:color w:val="000000"/>
          <w:kern w:val="0"/>
          <w:sz w:val="33"/>
          <w:szCs w:val="32"/>
          <w:highlight w:val="none"/>
          <w:shd w:val="clear" w:color="auto" w:fill="FFFFFF"/>
          <w:lang w:val="en-US" w:eastAsia="zh-CN"/>
        </w:rPr>
        <w:t>项目执行</w:t>
      </w:r>
      <w:r>
        <w:rPr>
          <w:rFonts w:hint="eastAsia" w:ascii="Times New Roman" w:hAnsi="Times New Roman" w:eastAsia="方正仿宋_GBK" w:cs="Times New Roman"/>
          <w:b w:val="0"/>
          <w:bCs w:val="0"/>
          <w:color w:val="000000"/>
          <w:kern w:val="0"/>
          <w:sz w:val="33"/>
          <w:szCs w:val="32"/>
          <w:highlight w:val="none"/>
          <w:shd w:val="clear" w:color="auto" w:fill="FFFFFF"/>
          <w:lang w:val="zh-CN" w:eastAsia="zh-CN"/>
        </w:rPr>
        <w:t>”</w:t>
      </w:r>
      <w:r>
        <w:rPr>
          <w:rFonts w:hint="eastAsia" w:ascii="Times New Roman" w:hAnsi="Times New Roman" w:eastAsia="方正仿宋_GBK" w:cs="Times New Roman"/>
          <w:color w:val="000000"/>
          <w:kern w:val="0"/>
          <w:sz w:val="33"/>
          <w:szCs w:val="32"/>
          <w:highlight w:val="none"/>
          <w:shd w:val="clear" w:color="auto" w:fill="FFFFFF"/>
          <w:lang w:val="en-US" w:eastAsia="zh-CN"/>
        </w:rPr>
        <w:t>指标满分12分，自评得分12分。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楷体_GB2312"/>
          <w:b w:val="0"/>
          <w:bCs w:val="0"/>
          <w:color w:val="000000"/>
          <w:kern w:val="0"/>
          <w:sz w:val="33"/>
          <w:szCs w:val="32"/>
          <w:highlight w:val="none"/>
          <w:shd w:val="clear" w:color="auto" w:fill="FFFFFF"/>
          <w:lang w:val="zh-CN"/>
        </w:rPr>
      </w:pPr>
      <w:r>
        <w:rPr>
          <w:rFonts w:hint="eastAsia" w:ascii="Times New Roman" w:hAnsi="Times New Roman" w:eastAsia="方正仿宋_GBK" w:cs="楷体_GB2312"/>
          <w:b w:val="0"/>
          <w:bCs w:val="0"/>
          <w:color w:val="000000"/>
          <w:kern w:val="0"/>
          <w:sz w:val="33"/>
          <w:szCs w:val="32"/>
          <w:highlight w:val="none"/>
          <w:shd w:val="clear" w:color="auto" w:fill="FFFFFF"/>
          <w:lang w:val="en-US" w:eastAsia="zh-CN"/>
        </w:rPr>
        <w:t>3.</w:t>
      </w:r>
      <w:r>
        <w:rPr>
          <w:rFonts w:hint="eastAsia" w:ascii="Times New Roman" w:hAnsi="Times New Roman" w:eastAsia="方正仿宋_GBK" w:cs="楷体_GB2312"/>
          <w:b w:val="0"/>
          <w:bCs w:val="0"/>
          <w:color w:val="000000"/>
          <w:kern w:val="0"/>
          <w:sz w:val="33"/>
          <w:szCs w:val="32"/>
          <w:highlight w:val="none"/>
          <w:shd w:val="clear" w:color="auto" w:fill="FFFFFF"/>
          <w:lang w:val="zh-CN"/>
        </w:rPr>
        <w:t>目标实现。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color w:val="000000"/>
          <w:kern w:val="0"/>
          <w:sz w:val="33"/>
          <w:szCs w:val="32"/>
          <w:highlight w:val="none"/>
          <w:shd w:val="clear" w:color="auto" w:fill="FFFFFF"/>
          <w:lang w:val="en-US" w:eastAsia="zh-CN"/>
        </w:rPr>
      </w:pPr>
      <w:r>
        <w:rPr>
          <w:rFonts w:hint="eastAsia" w:ascii="Times New Roman" w:hAnsi="Times New Roman" w:eastAsia="方正仿宋_GBK" w:cs="楷体_GB2312"/>
          <w:b w:val="0"/>
          <w:bCs w:val="0"/>
          <w:color w:val="000000"/>
          <w:kern w:val="0"/>
          <w:sz w:val="33"/>
          <w:szCs w:val="32"/>
          <w:highlight w:val="none"/>
          <w:shd w:val="clear" w:color="auto" w:fill="FFFFFF"/>
          <w:lang w:val="zh-CN"/>
        </w:rPr>
        <w:t>部门预算项目绩效目标数量指标均完成，</w:t>
      </w:r>
      <w:r>
        <w:rPr>
          <w:rFonts w:hint="eastAsia" w:ascii="Times New Roman" w:hAnsi="Times New Roman" w:eastAsia="方正仿宋_GBK" w:cs="Times New Roman"/>
          <w:b w:val="0"/>
          <w:bCs w:val="0"/>
          <w:color w:val="000000"/>
          <w:kern w:val="0"/>
          <w:sz w:val="33"/>
          <w:szCs w:val="32"/>
          <w:highlight w:val="none"/>
          <w:shd w:val="clear" w:color="auto" w:fill="FFFFFF"/>
          <w:lang w:val="en-US" w:eastAsia="zh-CN"/>
        </w:rPr>
        <w:t>“目标完成”</w:t>
      </w:r>
      <w:r>
        <w:rPr>
          <w:rFonts w:hint="eastAsia" w:ascii="Times New Roman" w:hAnsi="Times New Roman" w:eastAsia="方正仿宋_GBK" w:cs="Times New Roman"/>
          <w:color w:val="000000"/>
          <w:kern w:val="0"/>
          <w:sz w:val="33"/>
          <w:szCs w:val="32"/>
          <w:highlight w:val="none"/>
          <w:shd w:val="clear" w:color="auto" w:fill="FFFFFF"/>
          <w:lang w:val="zh-CN"/>
        </w:rPr>
        <w:t>指标满分</w:t>
      </w:r>
      <w:r>
        <w:rPr>
          <w:rFonts w:hint="eastAsia" w:ascii="Times New Roman" w:hAnsi="Times New Roman" w:eastAsia="方正仿宋_GBK" w:cs="Times New Roman"/>
          <w:color w:val="000000"/>
          <w:kern w:val="0"/>
          <w:sz w:val="33"/>
          <w:szCs w:val="32"/>
          <w:highlight w:val="none"/>
          <w:shd w:val="clear" w:color="auto" w:fill="FFFFFF"/>
          <w:lang w:val="en-US" w:eastAsia="zh-CN"/>
        </w:rPr>
        <w:t>4分，自评得分4分；</w:t>
      </w:r>
      <w:r>
        <w:rPr>
          <w:rFonts w:hint="eastAsia" w:ascii="Times New Roman" w:hAnsi="Times New Roman" w:eastAsia="方正仿宋_GBK" w:cs="仿宋_GB2312"/>
          <w:sz w:val="33"/>
          <w:szCs w:val="32"/>
        </w:rPr>
        <w:t>根据对年初整体支出绩效目标实际完成值进行逐一分析</w:t>
      </w:r>
      <w:r>
        <w:rPr>
          <w:rFonts w:hint="eastAsia" w:ascii="Times New Roman" w:hAnsi="Times New Roman" w:eastAsia="方正仿宋_GBK" w:cs="仿宋_GB2312"/>
          <w:sz w:val="33"/>
          <w:szCs w:val="32"/>
          <w:lang w:eastAsia="zh-CN"/>
        </w:rPr>
        <w:t>，</w:t>
      </w:r>
      <w:r>
        <w:rPr>
          <w:rFonts w:hint="eastAsia" w:ascii="Times New Roman" w:hAnsi="Times New Roman" w:eastAsia="方正仿宋_GBK" w:cs="Times New Roman"/>
          <w:color w:val="000000"/>
          <w:kern w:val="0"/>
          <w:sz w:val="33"/>
          <w:szCs w:val="32"/>
          <w:highlight w:val="none"/>
          <w:shd w:val="clear" w:color="auto" w:fill="FFFFFF"/>
          <w:lang w:val="en-US" w:eastAsia="zh-CN"/>
        </w:rPr>
        <w:t>已完成预期指标值的数量指标偏离度在30%内，“目标偏离”</w:t>
      </w:r>
      <w:r>
        <w:rPr>
          <w:rFonts w:hint="eastAsia" w:ascii="Times New Roman" w:hAnsi="Times New Roman" w:eastAsia="方正仿宋_GBK" w:cs="Times New Roman"/>
          <w:color w:val="000000"/>
          <w:kern w:val="0"/>
          <w:sz w:val="33"/>
          <w:szCs w:val="32"/>
          <w:highlight w:val="none"/>
          <w:shd w:val="clear" w:color="auto" w:fill="FFFFFF"/>
          <w:lang w:val="zh-CN"/>
        </w:rPr>
        <w:t>指标满分</w:t>
      </w:r>
      <w:r>
        <w:rPr>
          <w:rFonts w:hint="eastAsia" w:ascii="Times New Roman" w:hAnsi="Times New Roman" w:eastAsia="方正仿宋_GBK" w:cs="Times New Roman"/>
          <w:color w:val="000000"/>
          <w:kern w:val="0"/>
          <w:sz w:val="33"/>
          <w:szCs w:val="32"/>
          <w:highlight w:val="none"/>
          <w:shd w:val="clear" w:color="auto" w:fill="FFFFFF"/>
          <w:lang w:val="en-US" w:eastAsia="zh-CN"/>
        </w:rPr>
        <w:t>4分，自评得分4分；部门预算项目绩效目标效益指标实施效果均完成，“实现效果”指标</w:t>
      </w:r>
      <w:r>
        <w:rPr>
          <w:rFonts w:hint="eastAsia" w:ascii="Times New Roman" w:hAnsi="Times New Roman" w:eastAsia="方正仿宋_GBK" w:cs="Times New Roman"/>
          <w:color w:val="000000"/>
          <w:kern w:val="0"/>
          <w:sz w:val="33"/>
          <w:szCs w:val="32"/>
          <w:highlight w:val="none"/>
          <w:shd w:val="clear" w:color="auto" w:fill="FFFFFF"/>
          <w:lang w:val="zh-CN"/>
        </w:rPr>
        <w:t>满分</w:t>
      </w:r>
      <w:r>
        <w:rPr>
          <w:rFonts w:hint="eastAsia" w:ascii="Times New Roman" w:hAnsi="Times New Roman" w:eastAsia="方正仿宋_GBK" w:cs="Times New Roman"/>
          <w:color w:val="000000"/>
          <w:kern w:val="0"/>
          <w:sz w:val="33"/>
          <w:szCs w:val="32"/>
          <w:highlight w:val="none"/>
          <w:shd w:val="clear" w:color="auto" w:fill="FFFFFF"/>
          <w:lang w:val="en-US" w:eastAsia="zh-CN"/>
        </w:rPr>
        <w:t>3分，自评得分3分。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Times New Roman" w:hAnsi="Times New Roman" w:eastAsia="方正仿宋_GBK" w:cs="Times New Roman"/>
          <w:color w:val="000000"/>
          <w:kern w:val="0"/>
          <w:sz w:val="33"/>
          <w:szCs w:val="32"/>
          <w:highlight w:val="none"/>
          <w:shd w:val="clear" w:color="auto" w:fill="FFFFFF"/>
          <w:lang w:val="en-US" w:eastAsia="zh-CN"/>
        </w:rPr>
      </w:pPr>
      <w:r>
        <w:rPr>
          <w:rFonts w:hint="eastAsia" w:ascii="Times New Roman" w:hAnsi="Times New Roman" w:eastAsia="方正仿宋_GBK" w:cs="Times New Roman"/>
          <w:color w:val="000000"/>
          <w:kern w:val="0"/>
          <w:sz w:val="33"/>
          <w:szCs w:val="32"/>
          <w:highlight w:val="none"/>
          <w:shd w:val="clear" w:color="auto" w:fill="FFFFFF"/>
          <w:lang w:val="en-US" w:eastAsia="zh-CN"/>
        </w:rPr>
        <w:t>“目标实现”指标满分11分，自评得分11分。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方正仿宋_GBK" w:cs="Times New Roman"/>
          <w:color w:val="000000"/>
          <w:kern w:val="0"/>
          <w:sz w:val="33"/>
          <w:szCs w:val="32"/>
          <w:highlight w:val="none"/>
          <w:shd w:val="clear" w:color="auto" w:fill="FFFFFF"/>
          <w:lang w:val="en-US" w:eastAsia="zh-CN"/>
        </w:rPr>
      </w:pPr>
      <w:r>
        <w:rPr>
          <w:rFonts w:hint="default" w:ascii="Times New Roman" w:hAnsi="Times New Roman" w:eastAsia="方正楷体_GBK" w:cs="Times New Roman"/>
          <w:b/>
          <w:bCs/>
          <w:color w:val="000000"/>
          <w:kern w:val="0"/>
          <w:sz w:val="33"/>
          <w:szCs w:val="32"/>
          <w:highlight w:val="none"/>
          <w:shd w:val="clear" w:color="auto" w:fill="FFFFFF"/>
          <w:lang w:val="zh-CN"/>
        </w:rPr>
        <w:t>（</w:t>
      </w:r>
      <w:r>
        <w:rPr>
          <w:rFonts w:hint="eastAsia" w:ascii="Times New Roman" w:hAnsi="Times New Roman" w:eastAsia="方正楷体_GBK" w:cs="Times New Roman"/>
          <w:b/>
          <w:bCs/>
          <w:color w:val="000000"/>
          <w:kern w:val="0"/>
          <w:sz w:val="33"/>
          <w:szCs w:val="32"/>
          <w:highlight w:val="none"/>
          <w:shd w:val="clear" w:color="auto" w:fill="FFFFFF"/>
          <w:lang w:val="zh-CN"/>
        </w:rPr>
        <w:t>三</w:t>
      </w:r>
      <w:r>
        <w:rPr>
          <w:rFonts w:hint="default" w:ascii="Times New Roman" w:hAnsi="Times New Roman" w:eastAsia="方正楷体_GBK" w:cs="Times New Roman"/>
          <w:b/>
          <w:bCs/>
          <w:color w:val="000000"/>
          <w:kern w:val="0"/>
          <w:sz w:val="33"/>
          <w:szCs w:val="32"/>
          <w:highlight w:val="none"/>
          <w:shd w:val="clear" w:color="auto" w:fill="FFFFFF"/>
          <w:lang w:val="zh-CN"/>
        </w:rPr>
        <w:t>）</w:t>
      </w:r>
      <w:r>
        <w:rPr>
          <w:rFonts w:hint="default" w:ascii="Times New Roman" w:hAnsi="Times New Roman" w:eastAsia="方正楷体_GBK" w:cs="Times New Roman"/>
          <w:b/>
          <w:bCs/>
          <w:color w:val="000000"/>
          <w:kern w:val="0"/>
          <w:sz w:val="33"/>
          <w:szCs w:val="32"/>
          <w:highlight w:val="none"/>
          <w:shd w:val="clear" w:color="auto" w:fill="FFFFFF"/>
          <w:lang w:val="zh-CN" w:eastAsia="zh-CN"/>
        </w:rPr>
        <w:t>重点领域</w:t>
      </w:r>
      <w:r>
        <w:rPr>
          <w:rFonts w:hint="default" w:ascii="Times New Roman" w:hAnsi="Times New Roman" w:eastAsia="方正楷体_GBK" w:cs="Times New Roman"/>
          <w:b/>
          <w:bCs/>
          <w:color w:val="000000"/>
          <w:kern w:val="0"/>
          <w:sz w:val="33"/>
          <w:szCs w:val="32"/>
          <w:highlight w:val="none"/>
          <w:shd w:val="clear" w:color="auto" w:fill="FFFFFF"/>
          <w:lang w:val="zh-CN"/>
        </w:rPr>
        <w:t>绩效分析</w:t>
      </w:r>
      <w:r>
        <w:rPr>
          <w:rFonts w:hint="default" w:ascii="Times New Roman" w:hAnsi="Times New Roman" w:eastAsia="方正楷体_GBK" w:cs="Times New Roman"/>
          <w:b/>
          <w:bCs/>
          <w:color w:val="000000"/>
          <w:kern w:val="0"/>
          <w:sz w:val="33"/>
          <w:szCs w:val="32"/>
          <w:highlight w:val="none"/>
          <w:shd w:val="clear" w:color="auto" w:fill="FFFFFF"/>
          <w:lang w:val="zh-CN" w:eastAsia="zh-CN"/>
        </w:rPr>
        <w:t>。</w:t>
      </w:r>
      <w:r>
        <w:rPr>
          <w:rFonts w:hint="eastAsia" w:ascii="Times New Roman" w:hAnsi="Times New Roman" w:eastAsia="方正仿宋_GBK" w:cs="Times New Roman"/>
          <w:sz w:val="33"/>
          <w:szCs w:val="32"/>
          <w:highlight w:val="none"/>
          <w:u w:val="none"/>
          <w:lang w:eastAsia="zh-CN"/>
        </w:rPr>
        <w:t>本</w:t>
      </w:r>
      <w:r>
        <w:rPr>
          <w:rFonts w:hint="default" w:ascii="Times New Roman" w:hAnsi="Times New Roman" w:eastAsia="方正仿宋_GBK" w:cs="Times New Roman"/>
          <w:sz w:val="33"/>
          <w:szCs w:val="32"/>
          <w:highlight w:val="none"/>
          <w:u w:val="none"/>
        </w:rPr>
        <w:t>部门</w:t>
      </w:r>
      <w:r>
        <w:rPr>
          <w:rFonts w:hint="eastAsia" w:ascii="Times New Roman" w:hAnsi="Times New Roman" w:eastAsia="方正仿宋_GBK" w:cs="Times New Roman"/>
          <w:sz w:val="33"/>
          <w:szCs w:val="32"/>
          <w:highlight w:val="none"/>
          <w:u w:val="none"/>
          <w:lang w:val="en-US" w:eastAsia="zh-CN"/>
        </w:rPr>
        <w:t>2023年度</w:t>
      </w:r>
      <w:r>
        <w:rPr>
          <w:rFonts w:hint="eastAsia" w:ascii="Times New Roman" w:hAnsi="Times New Roman" w:eastAsia="方正仿宋_GBK" w:cs="Times New Roman"/>
          <w:sz w:val="33"/>
          <w:szCs w:val="32"/>
          <w:highlight w:val="none"/>
          <w:u w:val="none"/>
          <w:lang w:eastAsia="zh-CN"/>
        </w:rPr>
        <w:t>不</w:t>
      </w:r>
      <w:r>
        <w:rPr>
          <w:rFonts w:hint="default" w:ascii="Times New Roman" w:hAnsi="Times New Roman" w:eastAsia="方正仿宋_GBK" w:cs="Times New Roman"/>
          <w:sz w:val="33"/>
          <w:szCs w:val="32"/>
          <w:highlight w:val="none"/>
          <w:u w:val="none"/>
        </w:rPr>
        <w:t>涉及国有资本、行政事业性国有资产、</w:t>
      </w:r>
      <w:r>
        <w:rPr>
          <w:rFonts w:hint="default" w:ascii="Times New Roman" w:hAnsi="Times New Roman" w:eastAsia="方正仿宋_GBK" w:cs="Times New Roman"/>
          <w:b w:val="0"/>
          <w:bCs w:val="0"/>
          <w:sz w:val="33"/>
          <w:szCs w:val="32"/>
          <w:highlight w:val="none"/>
          <w:u w:val="none"/>
        </w:rPr>
        <w:t>债券</w:t>
      </w:r>
      <w:r>
        <w:rPr>
          <w:rFonts w:hint="default" w:ascii="Times New Roman" w:hAnsi="Times New Roman" w:eastAsia="方正仿宋_GBK" w:cs="Times New Roman"/>
          <w:b w:val="0"/>
          <w:bCs w:val="0"/>
          <w:sz w:val="33"/>
          <w:szCs w:val="32"/>
          <w:highlight w:val="none"/>
          <w:u w:val="none"/>
          <w:lang w:eastAsia="zh-CN"/>
        </w:rPr>
        <w:t>资金、政府采购和政府购买服务等重点领域</w:t>
      </w:r>
      <w:r>
        <w:rPr>
          <w:rFonts w:hint="eastAsia" w:ascii="Times New Roman" w:hAnsi="Times New Roman" w:eastAsia="方正仿宋_GBK" w:cs="Times New Roman"/>
          <w:sz w:val="33"/>
          <w:szCs w:val="32"/>
          <w:highlight w:val="none"/>
          <w:u w:val="none"/>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2" w:firstLineChars="200"/>
        <w:jc w:val="both"/>
        <w:textAlignment w:val="auto"/>
        <w:outlineLvl w:val="9"/>
        <w:rPr>
          <w:rFonts w:hint="eastAsia" w:ascii="Times New Roman" w:hAnsi="Times New Roman" w:eastAsia="方正楷体_GBK" w:cs="Times New Roman"/>
          <w:b/>
          <w:bCs/>
          <w:color w:val="000000"/>
          <w:kern w:val="0"/>
          <w:sz w:val="33"/>
          <w:szCs w:val="32"/>
          <w:highlight w:val="none"/>
          <w:shd w:val="clear" w:color="auto" w:fill="FFFFFF"/>
          <w:lang w:val="zh-CN"/>
        </w:rPr>
      </w:pPr>
      <w:r>
        <w:rPr>
          <w:rFonts w:hint="default" w:ascii="Times New Roman" w:hAnsi="Times New Roman" w:eastAsia="方正楷体_GBK" w:cs="Times New Roman"/>
          <w:b/>
          <w:bCs/>
          <w:color w:val="000000"/>
          <w:kern w:val="0"/>
          <w:sz w:val="33"/>
          <w:szCs w:val="32"/>
          <w:highlight w:val="none"/>
          <w:shd w:val="clear" w:color="auto" w:fill="FFFFFF"/>
          <w:lang w:val="zh-CN"/>
        </w:rPr>
        <w:t>（四）绩效结果应用情况</w:t>
      </w:r>
      <w:r>
        <w:rPr>
          <w:rFonts w:hint="eastAsia" w:ascii="Times New Roman" w:hAnsi="Times New Roman" w:eastAsia="方正楷体_GBK" w:cs="Times New Roman"/>
          <w:b/>
          <w:bCs/>
          <w:color w:val="000000"/>
          <w:kern w:val="0"/>
          <w:sz w:val="33"/>
          <w:szCs w:val="32"/>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outlineLvl w:val="9"/>
        <w:rPr>
          <w:rFonts w:hint="default" w:eastAsia="方正仿宋_GBK" w:cs="Times New Roman"/>
          <w:b w:val="0"/>
          <w:bCs w:val="0"/>
          <w:sz w:val="33"/>
          <w:szCs w:val="33"/>
          <w:lang w:val="en-US" w:eastAsia="zh-CN"/>
        </w:rPr>
      </w:pPr>
      <w:r>
        <w:rPr>
          <w:rFonts w:hint="eastAsia" w:eastAsia="方正仿宋_GBK" w:cs="Times New Roman"/>
          <w:b w:val="0"/>
          <w:bCs w:val="0"/>
          <w:sz w:val="33"/>
          <w:szCs w:val="33"/>
          <w:lang w:val="en-US" w:eastAsia="zh-CN"/>
        </w:rPr>
        <w:t>1.内部应用。信访局严格执行《武胜县县级部门预算绩效自评管理办法》、《绩效目标编报相关问题通报》等系列规定，为进一步推动我单位预算绩效管理深入实施，强化支出责任，持续提升财政资金使用效益。同时将内设机构绩效管理情况纳入内部考核体系，建立了对内设机构预算绩效挂钩机制，且实行与预算挂钩。</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outlineLvl w:val="9"/>
        <w:rPr>
          <w:rFonts w:hint="default" w:eastAsia="方正仿宋_GBK" w:cs="Times New Roman"/>
          <w:b w:val="0"/>
          <w:bCs w:val="0"/>
          <w:sz w:val="33"/>
          <w:szCs w:val="33"/>
          <w:lang w:val="en-US" w:eastAsia="zh-CN"/>
        </w:rPr>
      </w:pPr>
      <w:r>
        <w:rPr>
          <w:rFonts w:hint="eastAsia" w:eastAsia="方正仿宋_GBK" w:cs="Times New Roman"/>
          <w:b w:val="0"/>
          <w:bCs w:val="0"/>
          <w:sz w:val="33"/>
          <w:szCs w:val="33"/>
          <w:lang w:val="en-US" w:eastAsia="zh-CN"/>
        </w:rPr>
        <w:t>2.</w:t>
      </w:r>
      <w:r>
        <w:rPr>
          <w:rFonts w:hint="default" w:eastAsia="方正仿宋_GBK" w:cs="Times New Roman"/>
          <w:b w:val="0"/>
          <w:bCs w:val="0"/>
          <w:sz w:val="33"/>
          <w:szCs w:val="33"/>
          <w:lang w:val="en-US" w:eastAsia="zh-CN"/>
        </w:rPr>
        <w:t>信息公开。</w:t>
      </w:r>
      <w:r>
        <w:rPr>
          <w:rFonts w:hint="eastAsia" w:eastAsia="方正仿宋_GBK" w:cs="Times New Roman"/>
          <w:b w:val="0"/>
          <w:bCs w:val="0"/>
          <w:sz w:val="33"/>
          <w:szCs w:val="33"/>
          <w:lang w:val="en-US" w:eastAsia="zh-CN"/>
        </w:rPr>
        <w:t>信访局</w:t>
      </w:r>
      <w:r>
        <w:rPr>
          <w:rFonts w:hint="default" w:eastAsia="方正仿宋_GBK" w:cs="Times New Roman"/>
          <w:b w:val="0"/>
          <w:bCs w:val="0"/>
          <w:sz w:val="33"/>
          <w:szCs w:val="33"/>
          <w:lang w:val="en-US" w:eastAsia="zh-CN"/>
        </w:rPr>
        <w:t>按照绩效管理公开要求将相关绩效信</w:t>
      </w:r>
      <w:r>
        <w:rPr>
          <w:rFonts w:hint="default" w:eastAsia="方正仿宋_GBK" w:cs="Times New Roman"/>
          <w:b w:val="0"/>
          <w:bCs w:val="0"/>
          <w:snapToGrid w:val="0"/>
          <w:spacing w:val="-6"/>
          <w:kern w:val="0"/>
          <w:sz w:val="33"/>
          <w:szCs w:val="33"/>
          <w:lang w:val="en-US" w:eastAsia="zh-CN"/>
        </w:rPr>
        <w:t>息随同预、决算及时在武胜县人民政府网站上进行了专题公开</w:t>
      </w:r>
      <w:r>
        <w:rPr>
          <w:rFonts w:hint="eastAsia" w:eastAsia="方正仿宋_GBK" w:cs="Times New Roman"/>
          <w:b w:val="0"/>
          <w:bCs w:val="0"/>
          <w:snapToGrid w:val="0"/>
          <w:spacing w:val="-6"/>
          <w:kern w:val="0"/>
          <w:sz w:val="33"/>
          <w:szCs w:val="33"/>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outlineLvl w:val="9"/>
        <w:rPr>
          <w:rFonts w:hint="eastAsia" w:eastAsia="方正仿宋_GBK" w:cs="Times New Roman"/>
          <w:b w:val="0"/>
          <w:bCs w:val="0"/>
          <w:sz w:val="33"/>
          <w:szCs w:val="33"/>
          <w:lang w:val="en-US" w:eastAsia="zh-CN"/>
        </w:rPr>
      </w:pPr>
      <w:r>
        <w:rPr>
          <w:rFonts w:hint="eastAsia" w:eastAsia="方正仿宋_GBK" w:cs="Times New Roman"/>
          <w:b w:val="0"/>
          <w:bCs w:val="0"/>
          <w:sz w:val="33"/>
          <w:szCs w:val="33"/>
          <w:lang w:val="en-US" w:eastAsia="zh-CN"/>
        </w:rPr>
        <w:t>3.</w:t>
      </w:r>
      <w:r>
        <w:rPr>
          <w:rFonts w:hint="default" w:eastAsia="方正仿宋_GBK" w:cs="Times New Roman"/>
          <w:b w:val="0"/>
          <w:bCs w:val="0"/>
          <w:sz w:val="33"/>
          <w:szCs w:val="33"/>
          <w:lang w:val="en-US" w:eastAsia="zh-CN"/>
        </w:rPr>
        <w:t>问题整改。2023年，</w:t>
      </w:r>
      <w:r>
        <w:rPr>
          <w:rFonts w:hint="eastAsia" w:eastAsia="方正仿宋_GBK" w:cs="Times New Roman"/>
          <w:b w:val="0"/>
          <w:bCs w:val="0"/>
          <w:sz w:val="33"/>
          <w:szCs w:val="33"/>
          <w:lang w:val="en-US" w:eastAsia="zh-CN"/>
        </w:rPr>
        <w:t>信访局</w:t>
      </w:r>
      <w:r>
        <w:rPr>
          <w:rFonts w:hint="default" w:eastAsia="方正仿宋_GBK" w:cs="Times New Roman"/>
          <w:b w:val="0"/>
          <w:bCs w:val="0"/>
          <w:sz w:val="33"/>
          <w:szCs w:val="33"/>
          <w:lang w:val="en-US" w:eastAsia="zh-CN"/>
        </w:rPr>
        <w:t>未接受绩效目标核查，针对绩效监控核查、重点绩效评价</w:t>
      </w:r>
      <w:r>
        <w:rPr>
          <w:rFonts w:hint="eastAsia" w:eastAsia="方正仿宋_GBK" w:cs="Times New Roman"/>
          <w:b w:val="0"/>
          <w:bCs w:val="0"/>
          <w:sz w:val="33"/>
          <w:szCs w:val="33"/>
          <w:lang w:val="en-US" w:eastAsia="zh-CN"/>
        </w:rPr>
        <w:t>以及绩效目标编报</w:t>
      </w:r>
      <w:r>
        <w:rPr>
          <w:rFonts w:hint="default" w:eastAsia="方正仿宋_GBK" w:cs="Times New Roman"/>
          <w:b w:val="0"/>
          <w:bCs w:val="0"/>
          <w:sz w:val="33"/>
          <w:szCs w:val="33"/>
          <w:lang w:val="en-US" w:eastAsia="zh-CN"/>
        </w:rPr>
        <w:t>提出的</w:t>
      </w:r>
      <w:r>
        <w:rPr>
          <w:rFonts w:hint="eastAsia" w:eastAsia="方正仿宋_GBK" w:cs="Times New Roman"/>
          <w:b w:val="0"/>
          <w:bCs w:val="0"/>
          <w:sz w:val="33"/>
          <w:szCs w:val="33"/>
          <w:lang w:val="en-US" w:eastAsia="zh-CN"/>
        </w:rPr>
        <w:t>共性</w:t>
      </w:r>
      <w:r>
        <w:rPr>
          <w:rFonts w:hint="default" w:eastAsia="方正仿宋_GBK" w:cs="Times New Roman"/>
          <w:b w:val="0"/>
          <w:bCs w:val="0"/>
          <w:sz w:val="33"/>
          <w:szCs w:val="33"/>
          <w:lang w:val="en-US" w:eastAsia="zh-CN"/>
        </w:rPr>
        <w:t>问题及时进行了整改和应用反馈</w:t>
      </w:r>
      <w:r>
        <w:rPr>
          <w:rFonts w:hint="eastAsia" w:eastAsia="方正仿宋_GBK" w:cs="Times New Roman"/>
          <w:b w:val="0"/>
          <w:bCs w:val="0"/>
          <w:sz w:val="33"/>
          <w:szCs w:val="33"/>
          <w:lang w:val="en-US" w:eastAsia="zh-CN"/>
        </w:rPr>
        <w:t xml:space="preserve">，并做到举一反三。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outlineLvl w:val="9"/>
        <w:rPr>
          <w:rFonts w:hint="eastAsia" w:ascii="方正黑体_GBK" w:hAnsi="方正黑体_GBK" w:eastAsia="方正黑体_GBK" w:cs="方正黑体_GBK"/>
          <w:color w:val="000000"/>
          <w:kern w:val="0"/>
          <w:sz w:val="33"/>
          <w:szCs w:val="32"/>
          <w:highlight w:val="none"/>
          <w:shd w:val="clear" w:color="auto" w:fill="FFFFFF"/>
        </w:rPr>
      </w:pPr>
      <w:r>
        <w:rPr>
          <w:rFonts w:hint="eastAsia" w:ascii="方正黑体_GBK" w:hAnsi="方正黑体_GBK" w:eastAsia="方正黑体_GBK" w:cs="方正黑体_GBK"/>
          <w:color w:val="000000"/>
          <w:kern w:val="0"/>
          <w:sz w:val="33"/>
          <w:szCs w:val="32"/>
          <w:highlight w:val="none"/>
          <w:shd w:val="clear" w:color="auto" w:fill="FFFFFF"/>
          <w:lang w:eastAsia="zh-CN"/>
        </w:rPr>
        <w:t>四、</w:t>
      </w:r>
      <w:r>
        <w:rPr>
          <w:rFonts w:hint="eastAsia" w:ascii="方正黑体_GBK" w:hAnsi="方正黑体_GBK" w:eastAsia="方正黑体_GBK" w:cs="方正黑体_GBK"/>
          <w:color w:val="000000"/>
          <w:kern w:val="0"/>
          <w:sz w:val="33"/>
          <w:szCs w:val="32"/>
          <w:highlight w:val="none"/>
          <w:shd w:val="clear" w:color="auto" w:fill="FFFFFF"/>
        </w:rPr>
        <w:t>评价结论及建议</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方正楷体_GBK" w:cs="Times New Roman"/>
          <w:b/>
          <w:bCs/>
          <w:color w:val="000000"/>
          <w:kern w:val="0"/>
          <w:sz w:val="33"/>
          <w:szCs w:val="32"/>
          <w:highlight w:val="none"/>
          <w:shd w:val="clear" w:color="auto" w:fill="FFFFFF"/>
          <w:lang w:val="zh-CN"/>
        </w:rPr>
      </w:pPr>
      <w:r>
        <w:rPr>
          <w:rFonts w:hint="default" w:ascii="Times New Roman" w:hAnsi="Times New Roman" w:eastAsia="方正楷体_GBK" w:cs="Times New Roman"/>
          <w:b/>
          <w:bCs/>
          <w:color w:val="000000"/>
          <w:kern w:val="0"/>
          <w:sz w:val="33"/>
          <w:szCs w:val="32"/>
          <w:highlight w:val="none"/>
          <w:shd w:val="clear" w:color="auto" w:fill="FFFFFF"/>
          <w:lang w:val="zh-CN"/>
        </w:rPr>
        <w:t>（一）评价结论。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outlineLvl w:val="9"/>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rPr>
        <w:t>按照《</w:t>
      </w:r>
      <w:r>
        <w:rPr>
          <w:rFonts w:hint="default" w:ascii="Times New Roman" w:hAnsi="Times New Roman" w:eastAsia="方正仿宋_GBK" w:cs="Times New Roman"/>
          <w:sz w:val="33"/>
          <w:szCs w:val="33"/>
          <w:lang w:eastAsia="zh-CN"/>
        </w:rPr>
        <w:t>县</w:t>
      </w:r>
      <w:r>
        <w:rPr>
          <w:rFonts w:hint="default" w:ascii="Times New Roman" w:hAnsi="Times New Roman" w:eastAsia="方正仿宋_GBK" w:cs="Times New Roman"/>
          <w:sz w:val="33"/>
          <w:szCs w:val="33"/>
        </w:rPr>
        <w:t>级部门</w:t>
      </w:r>
      <w:r>
        <w:rPr>
          <w:rFonts w:hint="eastAsia" w:ascii="Times New Roman" w:hAnsi="Times New Roman" w:eastAsia="方正仿宋_GBK" w:cs="Times New Roman"/>
          <w:sz w:val="33"/>
          <w:szCs w:val="33"/>
          <w:lang w:eastAsia="zh-CN"/>
        </w:rPr>
        <w:t>预算</w:t>
      </w:r>
      <w:r>
        <w:rPr>
          <w:rFonts w:hint="default" w:ascii="Times New Roman" w:hAnsi="Times New Roman" w:eastAsia="方正仿宋_GBK" w:cs="Times New Roman"/>
          <w:sz w:val="33"/>
          <w:szCs w:val="33"/>
        </w:rPr>
        <w:t>绩效评价指标体系》设定的绩效指标和计分标准，部门</w:t>
      </w:r>
      <w:r>
        <w:rPr>
          <w:rFonts w:hint="eastAsia" w:ascii="Times New Roman" w:hAnsi="Times New Roman" w:eastAsia="方正仿宋_GBK" w:cs="Times New Roman"/>
          <w:sz w:val="33"/>
          <w:szCs w:val="33"/>
          <w:lang w:eastAsia="zh-CN"/>
        </w:rPr>
        <w:t>预算</w:t>
      </w:r>
      <w:r>
        <w:rPr>
          <w:rFonts w:hint="default" w:ascii="Times New Roman" w:hAnsi="Times New Roman" w:eastAsia="方正仿宋_GBK" w:cs="Times New Roman"/>
          <w:sz w:val="33"/>
          <w:szCs w:val="33"/>
        </w:rPr>
        <w:t>绩效评价得分为</w:t>
      </w:r>
      <w:r>
        <w:rPr>
          <w:rFonts w:hint="eastAsia" w:eastAsia="方正仿宋_GBK" w:cs="Times New Roman"/>
          <w:sz w:val="33"/>
          <w:szCs w:val="33"/>
          <w:lang w:val="en-US" w:eastAsia="zh-CN"/>
        </w:rPr>
        <w:t>95.97</w:t>
      </w:r>
      <w:r>
        <w:rPr>
          <w:rFonts w:hint="default" w:ascii="Times New Roman" w:hAnsi="Times New Roman" w:eastAsia="方正仿宋_GBK" w:cs="Times New Roman"/>
          <w:sz w:val="33"/>
          <w:szCs w:val="33"/>
        </w:rPr>
        <w:t>分。</w:t>
      </w:r>
    </w:p>
    <w:p>
      <w:pPr>
        <w:bidi w:val="0"/>
        <w:jc w:val="center"/>
        <w:rPr>
          <w:rFonts w:hint="default"/>
          <w:b/>
          <w:bCs/>
          <w:sz w:val="28"/>
          <w:szCs w:val="28"/>
        </w:rPr>
      </w:pPr>
      <w:r>
        <w:rPr>
          <w:rFonts w:hint="default"/>
          <w:b/>
          <w:bCs/>
          <w:sz w:val="28"/>
          <w:szCs w:val="28"/>
          <w:lang w:eastAsia="zh-CN"/>
        </w:rPr>
        <w:t>2023年</w:t>
      </w:r>
      <w:r>
        <w:rPr>
          <w:rFonts w:hint="default"/>
          <w:b/>
          <w:bCs/>
          <w:sz w:val="28"/>
          <w:szCs w:val="28"/>
        </w:rPr>
        <w:t>部门</w:t>
      </w:r>
      <w:r>
        <w:rPr>
          <w:rFonts w:hint="default"/>
          <w:b/>
          <w:bCs/>
          <w:sz w:val="28"/>
          <w:szCs w:val="28"/>
          <w:lang w:eastAsia="zh-CN"/>
        </w:rPr>
        <w:t>预算</w:t>
      </w:r>
      <w:r>
        <w:rPr>
          <w:rFonts w:hint="default"/>
          <w:b/>
          <w:bCs/>
          <w:sz w:val="28"/>
          <w:szCs w:val="28"/>
        </w:rPr>
        <w:t>绩效评价得分表</w:t>
      </w:r>
    </w:p>
    <w:tbl>
      <w:tblPr>
        <w:tblStyle w:val="20"/>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2439"/>
        <w:gridCol w:w="2905"/>
        <w:gridCol w:w="938"/>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2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sz w:val="24"/>
                <w:szCs w:val="24"/>
              </w:rPr>
              <w:t>绩效</w:t>
            </w:r>
            <w:r>
              <w:rPr>
                <w:rFonts w:hint="eastAsia" w:ascii="方正黑体_GBK" w:hAnsi="方正黑体_GBK" w:eastAsia="方正黑体_GBK" w:cs="方正黑体_GBK"/>
                <w:sz w:val="24"/>
                <w:szCs w:val="24"/>
                <w:lang w:val="en-US" w:eastAsia="zh-CN"/>
              </w:rPr>
              <w:t>评价</w:t>
            </w:r>
            <w:r>
              <w:rPr>
                <w:rFonts w:hint="eastAsia" w:ascii="方正黑体_GBK" w:hAnsi="方正黑体_GBK" w:eastAsia="方正黑体_GBK" w:cs="方正黑体_GBK"/>
                <w:sz w:val="24"/>
                <w:szCs w:val="24"/>
              </w:rPr>
              <w:t>指标</w:t>
            </w:r>
          </w:p>
        </w:tc>
        <w:tc>
          <w:tcPr>
            <w:tcW w:w="9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sz w:val="24"/>
                <w:szCs w:val="24"/>
              </w:rPr>
              <w:t>分值</w:t>
            </w:r>
          </w:p>
        </w:tc>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9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sz w:val="24"/>
                <w:szCs w:val="24"/>
              </w:rPr>
              <w:t>一级指标</w:t>
            </w:r>
          </w:p>
        </w:tc>
        <w:tc>
          <w:tcPr>
            <w:tcW w:w="24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sz w:val="24"/>
                <w:szCs w:val="24"/>
              </w:rPr>
              <w:t>二级指标</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黑体_GBK" w:hAnsi="方正黑体_GBK" w:eastAsia="方正黑体_GBK" w:cs="方正黑体_GBK"/>
                <w:sz w:val="24"/>
                <w:szCs w:val="24"/>
                <w:vertAlign w:val="baseline"/>
              </w:rPr>
            </w:pPr>
            <w:r>
              <w:rPr>
                <w:rFonts w:hint="eastAsia" w:ascii="方正黑体_GBK" w:hAnsi="方正黑体_GBK" w:eastAsia="方正黑体_GBK" w:cs="方正黑体_GBK"/>
                <w:sz w:val="24"/>
                <w:szCs w:val="24"/>
              </w:rPr>
              <w:t>三级指标</w:t>
            </w:r>
          </w:p>
        </w:tc>
        <w:tc>
          <w:tcPr>
            <w:tcW w:w="9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default" w:ascii="Times New Roman" w:hAnsi="Times New Roman" w:eastAsia="方正仿宋_GBK" w:cs="Times New Roman"/>
                <w:sz w:val="24"/>
                <w:szCs w:val="24"/>
                <w:vertAlign w:val="baseline"/>
              </w:rPr>
            </w:pPr>
          </w:p>
        </w:tc>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总体</w:t>
            </w:r>
            <w:r>
              <w:rPr>
                <w:rFonts w:hint="default" w:ascii="Times New Roman" w:hAnsi="Times New Roman" w:eastAsia="方正仿宋_GBK" w:cs="Times New Roman"/>
                <w:sz w:val="24"/>
                <w:szCs w:val="24"/>
              </w:rPr>
              <w:t>绩效</w:t>
            </w:r>
            <w:r>
              <w:rPr>
                <w:rFonts w:hint="eastAsia" w:eastAsia="方正仿宋_GBK" w:cs="Times New Roman"/>
                <w:sz w:val="24"/>
                <w:szCs w:val="24"/>
                <w:lang w:val="en-US" w:eastAsia="zh-CN"/>
              </w:rPr>
              <w:t xml:space="preserve">    </w:t>
            </w:r>
            <w:r>
              <w:rPr>
                <w:rFonts w:hint="default" w:ascii="Times New Roman" w:hAnsi="Times New Roman" w:eastAsia="方正仿宋_GBK" w:cs="Times New Roman"/>
                <w:sz w:val="24"/>
                <w:szCs w:val="24"/>
              </w:rPr>
              <w:t>（</w:t>
            </w:r>
            <w:r>
              <w:rPr>
                <w:rFonts w:hint="eastAsia" w:eastAsia="方正仿宋_GBK" w:cs="Times New Roman"/>
                <w:sz w:val="24"/>
                <w:szCs w:val="24"/>
                <w:lang w:val="en-US" w:eastAsia="zh-CN"/>
              </w:rPr>
              <w:t>65</w:t>
            </w:r>
            <w:r>
              <w:rPr>
                <w:rFonts w:hint="default" w:ascii="Times New Roman" w:hAnsi="Times New Roman" w:eastAsia="方正仿宋_GBK" w:cs="Times New Roman"/>
                <w:sz w:val="24"/>
                <w:szCs w:val="24"/>
              </w:rPr>
              <w:t>分）</w:t>
            </w:r>
          </w:p>
        </w:tc>
        <w:tc>
          <w:tcPr>
            <w:tcW w:w="24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履职效能</w:t>
            </w:r>
            <w:r>
              <w:rPr>
                <w:rFonts w:hint="default" w:ascii="Times New Roman" w:hAnsi="Times New Roman" w:eastAsia="方正仿宋_GBK" w:cs="Times New Roman"/>
                <w:sz w:val="24"/>
                <w:szCs w:val="24"/>
              </w:rPr>
              <w:t>（</w:t>
            </w:r>
            <w:r>
              <w:rPr>
                <w:rFonts w:hint="eastAsia" w:eastAsia="方正仿宋_GBK" w:cs="Times New Roman"/>
                <w:sz w:val="24"/>
                <w:szCs w:val="24"/>
                <w:lang w:val="en-US" w:eastAsia="zh-CN"/>
              </w:rPr>
              <w:t>15</w:t>
            </w:r>
            <w:r>
              <w:rPr>
                <w:rFonts w:hint="default" w:ascii="Times New Roman" w:hAnsi="Times New Roman" w:eastAsia="方正仿宋_GBK" w:cs="Times New Roman"/>
                <w:sz w:val="24"/>
                <w:szCs w:val="24"/>
              </w:rPr>
              <w:t>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履职效果</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5</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outlineLvl w:val="9"/>
              <w:rPr>
                <w:rFonts w:hint="default" w:ascii="Times New Roman" w:hAnsi="Times New Roman" w:eastAsia="方正仿宋_GBK" w:cs="Times New Roman"/>
                <w:sz w:val="24"/>
                <w:szCs w:val="24"/>
                <w:vertAlign w:val="baseline"/>
                <w:lang w:val="en-US" w:eastAsia="zh-CN"/>
              </w:rPr>
            </w:pPr>
            <w:r>
              <w:rPr>
                <w:rFonts w:hint="eastAsia" w:eastAsia="方正仿宋_GBK" w:cs="Times New Roman"/>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预算管理</w:t>
            </w:r>
            <w:r>
              <w:rPr>
                <w:rFonts w:hint="default" w:ascii="Times New Roman" w:hAnsi="Times New Roman" w:eastAsia="方正仿宋_GBK" w:cs="Times New Roman"/>
                <w:sz w:val="24"/>
                <w:szCs w:val="24"/>
              </w:rPr>
              <w:t>（</w:t>
            </w:r>
            <w:r>
              <w:rPr>
                <w:rFonts w:hint="eastAsia" w:eastAsia="方正仿宋_GBK" w:cs="Times New Roman"/>
                <w:sz w:val="24"/>
                <w:szCs w:val="24"/>
                <w:lang w:val="en-US" w:eastAsia="zh-CN"/>
              </w:rPr>
              <w:t>25</w:t>
            </w:r>
            <w:r>
              <w:rPr>
                <w:rFonts w:hint="default" w:ascii="Times New Roman" w:hAnsi="Times New Roman" w:eastAsia="方正仿宋_GBK" w:cs="Times New Roman"/>
                <w:sz w:val="24"/>
                <w:szCs w:val="24"/>
              </w:rPr>
              <w:t>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预算编制管理</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8</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rPr>
            </w:pPr>
            <w:r>
              <w:rPr>
                <w:rFonts w:hint="eastAsia" w:eastAsia="方正仿宋_GBK" w:cs="Times New Roman"/>
                <w:sz w:val="24"/>
                <w:szCs w:val="24"/>
                <w:lang w:val="en-US" w:eastAsia="zh-CN"/>
              </w:rPr>
              <w:t>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单位收入通筹</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eastAsia"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支出执行进度</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6</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rPr>
            </w:pPr>
            <w:r>
              <w:rPr>
                <w:rFonts w:hint="eastAsia" w:eastAsia="方正仿宋_GBK" w:cs="Times New Roman"/>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预算年终结余</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2</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r>
              <w:rPr>
                <w:rFonts w:hint="eastAsia" w:eastAsia="方正仿宋_GBK" w:cs="Times New Roman"/>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严控一般性支出</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5</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r>
              <w:rPr>
                <w:rFonts w:hint="eastAsia" w:eastAsia="方正仿宋_GBK" w:cs="Times New Roman"/>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财务管理</w:t>
            </w:r>
            <w:r>
              <w:rPr>
                <w:rFonts w:hint="default" w:ascii="Times New Roman" w:hAnsi="Times New Roman" w:eastAsia="方正仿宋_GBK" w:cs="Times New Roman"/>
                <w:sz w:val="24"/>
                <w:szCs w:val="24"/>
              </w:rPr>
              <w:t>（</w:t>
            </w:r>
            <w:r>
              <w:rPr>
                <w:rFonts w:hint="eastAsia" w:eastAsia="方正仿宋_GBK" w:cs="Times New Roman"/>
                <w:sz w:val="24"/>
                <w:szCs w:val="24"/>
                <w:lang w:val="en-US" w:eastAsia="zh-CN"/>
              </w:rPr>
              <w:t>10</w:t>
            </w:r>
            <w:r>
              <w:rPr>
                <w:rFonts w:hint="default" w:ascii="Times New Roman" w:hAnsi="Times New Roman" w:eastAsia="方正仿宋_GBK" w:cs="Times New Roman"/>
                <w:sz w:val="24"/>
                <w:szCs w:val="24"/>
              </w:rPr>
              <w:t>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rPr>
            </w:pPr>
            <w:r>
              <w:rPr>
                <w:rFonts w:hint="eastAsia" w:eastAsia="方正仿宋_GBK" w:cs="Times New Roman"/>
                <w:sz w:val="24"/>
                <w:szCs w:val="24"/>
                <w:lang w:val="en-US" w:eastAsia="zh-CN"/>
              </w:rPr>
              <w:t>财务管理制度</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eastAsia"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财务岗位设置</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2</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r>
              <w:rPr>
                <w:rFonts w:hint="eastAsia" w:eastAsia="方正仿宋_GBK" w:cs="Times New Roman"/>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资金使用规范</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r>
              <w:rPr>
                <w:rFonts w:hint="eastAsia"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资产管理（9分）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人均资产变化率</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3</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资产利用率</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3</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资产盘活率</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3</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r>
              <w:rPr>
                <w:rFonts w:hint="eastAsia" w:eastAsia="方正仿宋_GBK" w:cs="Times New Roman"/>
                <w:sz w:val="24"/>
                <w:szCs w:val="24"/>
                <w:lang w:val="en-US" w:eastAsia="zh-CN"/>
              </w:rPr>
              <w:t>采购管理（6分）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支持中小企业发展</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3</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采购执行率</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3</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项目绩效    （35分）</w:t>
            </w:r>
          </w:p>
        </w:tc>
        <w:tc>
          <w:tcPr>
            <w:tcW w:w="2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项目程序（12分）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r>
              <w:rPr>
                <w:rFonts w:hint="eastAsia" w:eastAsia="方正仿宋_GBK" w:cs="Times New Roman"/>
                <w:sz w:val="24"/>
                <w:szCs w:val="24"/>
                <w:lang w:val="en-US" w:eastAsia="zh-CN"/>
              </w:rPr>
              <w:t>决策程序</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目标设置</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项目入库</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r>
              <w:rPr>
                <w:rFonts w:hint="eastAsia" w:eastAsia="方正仿宋_GBK" w:cs="Times New Roman"/>
                <w:sz w:val="24"/>
                <w:szCs w:val="24"/>
                <w:lang w:val="en-US" w:eastAsia="zh-CN"/>
              </w:rPr>
              <w:t>项目执行（12分）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执行同向</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项目调整</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执行结果</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目标实现（11分）</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目标完成</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目标偏移</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4</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4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实现效果</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eastAsia="方正仿宋_GBK" w:cs="Times New Roman"/>
                <w:sz w:val="24"/>
                <w:szCs w:val="24"/>
                <w:lang w:val="en-US" w:eastAsia="zh-CN"/>
              </w:rPr>
            </w:pPr>
            <w:r>
              <w:rPr>
                <w:rFonts w:hint="eastAsia" w:eastAsia="方正仿宋_GBK" w:cs="Times New Roman"/>
                <w:sz w:val="24"/>
                <w:szCs w:val="24"/>
                <w:lang w:val="en-US" w:eastAsia="zh-CN"/>
              </w:rPr>
              <w:t>3</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kern w:val="2"/>
                <w:sz w:val="24"/>
                <w:szCs w:val="24"/>
                <w:lang w:val="en-US" w:eastAsia="zh-CN" w:bidi="ar-SA"/>
              </w:rPr>
            </w:pPr>
            <w:r>
              <w:rPr>
                <w:rFonts w:hint="eastAsia"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扣分项</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1</w:t>
            </w:r>
            <w:r>
              <w:rPr>
                <w:rFonts w:hint="eastAsia" w:eastAsia="方正仿宋_GBK" w:cs="Times New Roman"/>
                <w:sz w:val="24"/>
                <w:szCs w:val="24"/>
                <w:lang w:val="en-US" w:eastAsia="zh-CN"/>
              </w:rPr>
              <w:t>0</w:t>
            </w:r>
            <w:r>
              <w:rPr>
                <w:rFonts w:hint="default" w:ascii="Times New Roman" w:hAnsi="Times New Roman" w:eastAsia="方正仿宋_GBK" w:cs="Times New Roman"/>
                <w:sz w:val="24"/>
                <w:szCs w:val="24"/>
              </w:rPr>
              <w:t>分）</w:t>
            </w:r>
          </w:p>
        </w:tc>
        <w:tc>
          <w:tcPr>
            <w:tcW w:w="24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预算绩效存在问题</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eastAsia="zh-CN"/>
              </w:rPr>
            </w:pPr>
          </w:p>
        </w:tc>
        <w:tc>
          <w:tcPr>
            <w:tcW w:w="24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被评价部门配合度</w:t>
            </w: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总分</w:t>
            </w:r>
          </w:p>
        </w:tc>
        <w:tc>
          <w:tcPr>
            <w:tcW w:w="24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29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方正仿宋_GBK" w:cs="Times New Roman"/>
                <w:sz w:val="24"/>
                <w:szCs w:val="24"/>
                <w:lang w:val="en-US" w:eastAsia="zh-CN"/>
              </w:rPr>
            </w:pP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100</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方正仿宋_GBK" w:cs="Times New Roman"/>
                <w:kern w:val="2"/>
                <w:sz w:val="24"/>
                <w:szCs w:val="24"/>
                <w:lang w:val="en-US" w:eastAsia="zh-CN" w:bidi="ar-SA"/>
              </w:rPr>
            </w:pPr>
            <w:r>
              <w:rPr>
                <w:rFonts w:hint="eastAsia" w:eastAsia="方正仿宋_GBK" w:cs="Times New Roman"/>
                <w:kern w:val="2"/>
                <w:sz w:val="24"/>
                <w:szCs w:val="24"/>
                <w:lang w:val="en-US" w:eastAsia="zh-CN" w:bidi="ar-SA"/>
              </w:rPr>
              <w:t>95.97</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方正楷体_GBK" w:cs="Times New Roman"/>
          <w:b/>
          <w:bCs/>
          <w:color w:val="000000"/>
          <w:kern w:val="0"/>
          <w:sz w:val="33"/>
          <w:szCs w:val="32"/>
          <w:highlight w:val="none"/>
          <w:shd w:val="clear" w:color="auto" w:fill="FFFFFF"/>
          <w:lang w:val="zh-CN"/>
        </w:rPr>
      </w:pPr>
      <w:r>
        <w:rPr>
          <w:rFonts w:hint="default" w:ascii="Times New Roman" w:hAnsi="Times New Roman" w:eastAsia="方正楷体_GBK" w:cs="Times New Roman"/>
          <w:b/>
          <w:bCs/>
          <w:color w:val="000000"/>
          <w:kern w:val="0"/>
          <w:sz w:val="33"/>
          <w:szCs w:val="32"/>
          <w:highlight w:val="none"/>
          <w:shd w:val="clear" w:color="auto" w:fill="FFFFFF"/>
          <w:lang w:val="zh-CN"/>
        </w:rPr>
        <w:t>（二）存在问题。</w:t>
      </w:r>
    </w:p>
    <w:p>
      <w:pPr>
        <w:keepNext w:val="0"/>
        <w:keepLines w:val="0"/>
        <w:pageBreakBefore w:val="0"/>
        <w:widowControl/>
        <w:kinsoku/>
        <w:wordWrap/>
        <w:overflowPunct/>
        <w:topLinePunct w:val="0"/>
        <w:autoSpaceDE/>
        <w:autoSpaceDN/>
        <w:bidi w:val="0"/>
        <w:adjustRightInd w:val="0"/>
        <w:snapToGrid w:val="0"/>
        <w:spacing w:line="590" w:lineRule="exact"/>
        <w:ind w:firstLine="626" w:firstLineChars="200"/>
        <w:contextualSpacing/>
        <w:jc w:val="left"/>
        <w:textAlignment w:val="auto"/>
        <w:outlineLvl w:val="9"/>
        <w:rPr>
          <w:rFonts w:hint="eastAsia" w:ascii="Times New Roman" w:hAnsi="Times New Roman" w:eastAsia="方正仿宋_GBK" w:cs="Times New Roman"/>
          <w:b/>
          <w:bCs/>
          <w:color w:val="000000"/>
          <w:kern w:val="0"/>
          <w:sz w:val="33"/>
          <w:szCs w:val="32"/>
          <w:highlight w:val="none"/>
          <w:shd w:val="clear" w:color="auto" w:fill="FFFFFF"/>
          <w:lang w:val="en-US" w:eastAsia="zh-CN"/>
        </w:rPr>
      </w:pPr>
      <w:r>
        <w:rPr>
          <w:rFonts w:hint="eastAsia" w:ascii="Times New Roman" w:hAnsi="Times New Roman" w:eastAsia="方正仿宋_GBK" w:cs="仿宋_GB2312"/>
          <w:b w:val="0"/>
          <w:bCs w:val="0"/>
          <w:w w:val="95"/>
          <w:kern w:val="0"/>
          <w:position w:val="0"/>
          <w:sz w:val="33"/>
          <w:szCs w:val="32"/>
          <w:highlight w:val="none"/>
          <w:lang w:val="en-US" w:eastAsia="zh-CN" w:bidi="ar-SA"/>
        </w:rPr>
        <w:t>财务制度执行力有待加强，资金使用计划有待细化。加强预算绩效监管，完善相关预算管理制度，严格执行预算法，加强绩效管理结果的应用，提高群众的满意度。</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方正楷体_GBK" w:cs="Times New Roman"/>
          <w:b/>
          <w:bCs/>
          <w:color w:val="000000"/>
          <w:kern w:val="0"/>
          <w:sz w:val="33"/>
          <w:szCs w:val="32"/>
          <w:highlight w:val="none"/>
          <w:shd w:val="clear" w:color="auto" w:fill="FFFFFF"/>
          <w:lang w:val="zh-CN" w:eastAsia="zh-CN"/>
        </w:rPr>
      </w:pPr>
      <w:r>
        <w:rPr>
          <w:rFonts w:hint="eastAsia" w:eastAsia="方正楷体_GBK" w:cs="Times New Roman"/>
          <w:b/>
          <w:bCs/>
          <w:color w:val="000000"/>
          <w:kern w:val="0"/>
          <w:sz w:val="33"/>
          <w:szCs w:val="32"/>
          <w:highlight w:val="none"/>
          <w:shd w:val="clear" w:color="auto" w:fill="FFFFFF"/>
          <w:lang w:val="zh-CN" w:eastAsia="zh-CN"/>
        </w:rPr>
        <w:t>（三）</w:t>
      </w:r>
      <w:r>
        <w:rPr>
          <w:rFonts w:hint="default" w:ascii="Times New Roman" w:hAnsi="Times New Roman" w:eastAsia="方正楷体_GBK" w:cs="Times New Roman"/>
          <w:b/>
          <w:bCs/>
          <w:color w:val="000000"/>
          <w:kern w:val="0"/>
          <w:sz w:val="33"/>
          <w:szCs w:val="32"/>
          <w:highlight w:val="none"/>
          <w:shd w:val="clear" w:color="auto" w:fill="FFFFFF"/>
          <w:lang w:val="zh-CN" w:eastAsia="zh-CN"/>
        </w:rPr>
        <w:t>改进建议。</w:t>
      </w:r>
      <w:bookmarkStart w:id="74" w:name="_Hlk110546638"/>
    </w:p>
    <w:bookmarkEnd w:id="74"/>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1.强化预算执行。提高年初预算的准确度，减少对预算的调整，最大程度发挥财政资金的效率，加强与上级财政的对接，加快预算项目执行进度。</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2.完善绩效目标。进一步完善绩效目标的设置，严格按照绩效目标培训会议要求，细化好四类绩效目标编报，确保可量化、准确性。</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3.加强文件学习。严格按照相关文件执行项目，各业务股室应当加强对相关业务文件的学习，对于文件精神及相关要求应当严格落实。</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eastAsia" w:ascii="方正仿宋_GBK" w:hAnsi="方正仿宋_GBK" w:eastAsia="方正仿宋_GBK" w:cs="方正仿宋_GBK"/>
          <w:color w:val="000000"/>
          <w:kern w:val="0"/>
          <w:sz w:val="33"/>
          <w:szCs w:val="33"/>
          <w:shd w:val="clear" w:color="auto" w:fill="FFFFFF"/>
          <w:lang w:val="zh-CN" w:eastAsia="zh-CN"/>
        </w:rPr>
      </w:pPr>
    </w:p>
    <w:p>
      <w:pPr>
        <w:keepNext w:val="0"/>
        <w:keepLines w:val="0"/>
        <w:pageBreakBefore w:val="0"/>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color w:val="000000"/>
          <w:kern w:val="0"/>
          <w:sz w:val="33"/>
          <w:szCs w:val="32"/>
          <w:highlight w:val="none"/>
          <w:shd w:val="clear" w:color="auto" w:fill="FFFFFF"/>
          <w:lang w:val="en-US" w:eastAsia="zh-CN"/>
        </w:rPr>
      </w:pPr>
      <w:r>
        <w:rPr>
          <w:rFonts w:hint="eastAsia" w:ascii="Times New Roman" w:hAnsi="Times New Roman" w:eastAsia="方正仿宋_GBK" w:cs="Times New Roman"/>
          <w:color w:val="000000"/>
          <w:kern w:val="0"/>
          <w:sz w:val="33"/>
          <w:szCs w:val="32"/>
          <w:highlight w:val="none"/>
          <w:shd w:val="clear" w:color="auto" w:fill="FFFFFF"/>
          <w:lang w:val="en-US" w:eastAsia="zh-CN"/>
        </w:rPr>
        <w:t>附表：</w:t>
      </w:r>
      <w:r>
        <w:rPr>
          <w:rFonts w:hint="default" w:ascii="Times New Roman" w:hAnsi="Times New Roman" w:eastAsia="方正仿宋_GBK" w:cs="Times New Roman"/>
          <w:color w:val="000000"/>
          <w:kern w:val="0"/>
          <w:sz w:val="33"/>
          <w:szCs w:val="32"/>
          <w:highlight w:val="none"/>
          <w:shd w:val="clear" w:color="auto" w:fill="FFFFFF"/>
          <w:lang w:val="en-US" w:eastAsia="zh-CN"/>
        </w:rPr>
        <w:t>部门整体支出绩效目标完成情况自评表</w:t>
      </w:r>
    </w:p>
    <w:p>
      <w:pPr>
        <w:keepNext w:val="0"/>
        <w:keepLines w:val="0"/>
        <w:pageBreakBefore w:val="0"/>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color w:val="000000"/>
          <w:kern w:val="0"/>
          <w:sz w:val="33"/>
          <w:szCs w:val="32"/>
          <w:highlight w:val="none"/>
          <w:shd w:val="clear" w:color="auto" w:fill="FFFFFF"/>
          <w:lang w:val="en-US" w:eastAsia="zh-CN"/>
        </w:rPr>
      </w:pPr>
    </w:p>
    <w:p>
      <w:pPr>
        <w:keepNext w:val="0"/>
        <w:keepLines w:val="0"/>
        <w:pageBreakBefore w:val="0"/>
        <w:kinsoku/>
        <w:wordWrap/>
        <w:overflowPunct/>
        <w:topLinePunct w:val="0"/>
        <w:autoSpaceDE/>
        <w:autoSpaceDN/>
        <w:bidi w:val="0"/>
        <w:spacing w:line="590" w:lineRule="exact"/>
        <w:ind w:firstLine="5940" w:firstLineChars="1800"/>
        <w:textAlignment w:val="auto"/>
        <w:rPr>
          <w:rFonts w:hint="eastAsia" w:eastAsia="方正仿宋_GBK" w:cs="Times New Roman"/>
          <w:color w:val="000000"/>
          <w:kern w:val="0"/>
          <w:sz w:val="33"/>
          <w:szCs w:val="32"/>
          <w:highlight w:val="none"/>
          <w:shd w:val="clear" w:color="auto" w:fill="FFFFFF"/>
          <w:lang w:val="en-US" w:eastAsia="zh-CN"/>
        </w:rPr>
      </w:pPr>
      <w:r>
        <w:rPr>
          <w:rFonts w:hint="eastAsia" w:eastAsia="方正仿宋_GBK" w:cs="Times New Roman"/>
          <w:color w:val="000000"/>
          <w:kern w:val="0"/>
          <w:sz w:val="33"/>
          <w:szCs w:val="32"/>
          <w:highlight w:val="none"/>
          <w:shd w:val="clear" w:color="auto" w:fill="FFFFFF"/>
          <w:lang w:val="en-US" w:eastAsia="zh-CN"/>
        </w:rPr>
        <w:t>武胜县信访局</w:t>
      </w:r>
    </w:p>
    <w:p>
      <w:pPr>
        <w:pStyle w:val="5"/>
        <w:ind w:firstLine="6006" w:firstLineChars="1820"/>
        <w:rPr>
          <w:rFonts w:hint="eastAsia" w:eastAsia="方正仿宋_GBK" w:cs="Times New Roman"/>
          <w:color w:val="000000"/>
          <w:kern w:val="0"/>
          <w:sz w:val="33"/>
          <w:szCs w:val="32"/>
          <w:highlight w:val="none"/>
          <w:shd w:val="clear" w:color="auto" w:fill="FFFFFF"/>
          <w:lang w:val="en-US" w:eastAsia="zh-CN"/>
        </w:rPr>
      </w:pPr>
    </w:p>
    <w:p>
      <w:pPr>
        <w:pStyle w:val="5"/>
        <w:ind w:firstLine="6006" w:firstLineChars="1820"/>
        <w:rPr>
          <w:rFonts w:hint="eastAsia" w:ascii="仿宋" w:hAnsi="仿宋" w:eastAsia="仿宋" w:cs="仿宋"/>
          <w:sz w:val="32"/>
          <w:szCs w:val="32"/>
        </w:rPr>
      </w:pPr>
      <w:r>
        <w:rPr>
          <w:rFonts w:hint="eastAsia" w:eastAsia="方正仿宋_GBK" w:cs="Times New Roman"/>
          <w:color w:val="000000"/>
          <w:kern w:val="0"/>
          <w:sz w:val="33"/>
          <w:szCs w:val="32"/>
          <w:highlight w:val="none"/>
          <w:shd w:val="clear" w:color="auto" w:fill="FFFFFF"/>
          <w:lang w:val="en-US" w:eastAsia="zh-CN"/>
        </w:rPr>
        <w:t>2024年7月30</w:t>
      </w:r>
    </w:p>
    <w:p>
      <w:pPr>
        <w:rPr>
          <w:rFonts w:hint="eastAsia" w:hAnsi="Times New Roman" w:cs="Times New Roman"/>
          <w:b/>
          <w:bCs/>
          <w:color w:val="auto"/>
          <w:sz w:val="28"/>
          <w:szCs w:val="28"/>
          <w:highlight w:val="none"/>
          <w:lang w:val="zh-CN" w:eastAsia="zh-CN"/>
        </w:rPr>
      </w:pPr>
      <w:bookmarkStart w:id="75" w:name="_Toc79163885"/>
      <w:bookmarkStart w:id="76" w:name="_Toc111208512"/>
      <w:bookmarkStart w:id="77" w:name="_Toc79163635"/>
      <w:bookmarkStart w:id="78" w:name="_Toc21200"/>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p>
    <w:p>
      <w:pPr>
        <w:rPr>
          <w:rFonts w:hint="eastAsia" w:hAnsi="Times New Roman" w:cs="Times New Roman"/>
          <w:b/>
          <w:bCs/>
          <w:color w:val="auto"/>
          <w:sz w:val="28"/>
          <w:szCs w:val="28"/>
          <w:highlight w:val="none"/>
          <w:lang w:val="zh-CN" w:eastAsia="zh-CN"/>
        </w:rPr>
      </w:pPr>
      <w:r>
        <w:rPr>
          <w:rFonts w:hint="eastAsia" w:hAnsi="Times New Roman" w:cs="Times New Roman"/>
          <w:b/>
          <w:bCs/>
          <w:color w:val="auto"/>
          <w:sz w:val="28"/>
          <w:szCs w:val="28"/>
          <w:highlight w:val="none"/>
          <w:lang w:val="zh-CN" w:eastAsia="zh-CN"/>
        </w:rPr>
        <w:t>附表：</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60"/>
        <w:gridCol w:w="895"/>
        <w:gridCol w:w="1186"/>
        <w:gridCol w:w="396"/>
        <w:gridCol w:w="834"/>
        <w:gridCol w:w="396"/>
        <w:gridCol w:w="846"/>
        <w:gridCol w:w="486"/>
        <w:gridCol w:w="486"/>
        <w:gridCol w:w="1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51162221T000000093316-驻村工作组工作经费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根据党的十九大精神，全面落实习近平总书记关于乡村振兴统筹工作的系列重要讲话和指示精神，</w:t>
            </w:r>
            <w:r>
              <w:rPr>
                <w:rFonts w:ascii="宋体" w:hAnsi="宋体" w:cs="宋体"/>
                <w:i w:val="0"/>
                <w:iCs w:val="0"/>
                <w:color w:val="000000"/>
                <w:kern w:val="0"/>
                <w:sz w:val="18"/>
                <w:szCs w:val="18"/>
                <w:u w:val="none"/>
                <w:lang w:val="en" w:eastAsia="zh-CN" w:bidi="ar"/>
              </w:rPr>
              <w:t>坚持农业农村优先发展</w:t>
            </w:r>
            <w:r>
              <w:rPr>
                <w:rFonts w:ascii="宋体" w:hAnsi="宋体" w:eastAsia="宋体" w:cs="宋体"/>
                <w:i w:val="0"/>
                <w:iCs w:val="0"/>
                <w:color w:val="000000"/>
                <w:kern w:val="0"/>
                <w:sz w:val="18"/>
                <w:szCs w:val="18"/>
                <w:u w:val="none"/>
                <w:lang w:val="en-US" w:eastAsia="zh-CN" w:bidi="ar"/>
              </w:rPr>
              <w:t>，驻村工作组在驻村期间按照</w:t>
            </w:r>
            <w:r>
              <w:rPr>
                <w:rFonts w:hint="eastAsia" w:ascii="宋体" w:hAnsi="宋体" w:cs="宋体"/>
                <w:i w:val="0"/>
                <w:iCs w:val="0"/>
                <w:color w:val="000000"/>
                <w:kern w:val="0"/>
                <w:sz w:val="18"/>
                <w:szCs w:val="18"/>
                <w:u w:val="none"/>
                <w:lang w:val="en-US" w:eastAsia="zh-CN" w:bidi="ar"/>
              </w:rPr>
              <w:t>县委、县政府</w:t>
            </w:r>
            <w:r>
              <w:rPr>
                <w:rFonts w:ascii="宋体" w:hAnsi="宋体" w:eastAsia="宋体" w:cs="宋体"/>
                <w:i w:val="0"/>
                <w:iCs w:val="0"/>
                <w:color w:val="000000"/>
                <w:kern w:val="0"/>
                <w:sz w:val="18"/>
                <w:szCs w:val="18"/>
                <w:u w:val="none"/>
                <w:lang w:val="en-US" w:eastAsia="zh-CN" w:bidi="ar"/>
              </w:rPr>
              <w:t>乡村振兴的总体规划，扎实开展乡村振兴工作部署，有效完成驻村各项工作任务，建强基层组织，为民办事，解决群众实际困难，提升基层治理水平，为建设美丽乡村奠定坚实的基础。</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有效完成驻村各项工作任务，建强基层组织，为民办事，解决群众实际困难，提升基层治理水平，为建设美丽乡村奠定坚实的基础。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扎实开展乡村振兴工作部署，有效完成驻村各项工作任务。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开展乡村振兴工作的任务数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乡村振兴完成情况</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按时效规定完成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有效推进美丽乡村的建设</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乡村振兴工作获得群众认可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项目负责人：徐滔</w:t>
            </w:r>
          </w:p>
        </w:tc>
        <w:tc>
          <w:tcPr>
            <w:tcW w:w="24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财务负责人：郭东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51162221T000000093100-绿色邮政邮寄费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该项目有利于引导群众理性表达自身诉求，树立正确导向，方便群众幸福活动，降低信访成本，维护信访秩序；提升公共服务水平，</w:t>
            </w:r>
            <w:r>
              <w:rPr>
                <w:rFonts w:ascii="宋体" w:hAnsi="宋体" w:cs="宋体"/>
                <w:i w:val="0"/>
                <w:iCs w:val="0"/>
                <w:color w:val="000000"/>
                <w:kern w:val="0"/>
                <w:sz w:val="18"/>
                <w:szCs w:val="18"/>
                <w:u w:val="none"/>
                <w:lang w:val="en" w:eastAsia="zh-CN" w:bidi="ar"/>
              </w:rPr>
              <w:t>充分发挥几个</w:t>
            </w:r>
            <w:r>
              <w:rPr>
                <w:rFonts w:ascii="宋体" w:hAnsi="宋体" w:eastAsia="宋体" w:cs="宋体"/>
                <w:i w:val="0"/>
                <w:iCs w:val="0"/>
                <w:color w:val="000000"/>
                <w:kern w:val="0"/>
                <w:sz w:val="18"/>
                <w:szCs w:val="18"/>
                <w:u w:val="none"/>
                <w:lang w:val="en-US" w:eastAsia="zh-CN" w:bidi="ar"/>
              </w:rPr>
              <w:t>部门联系服务群众的职能作用，推动依法及时解决信访问题，切实把矛盾和问题解决在当地，实现工作下移，形成文明有序的信访秩序。</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方便群众幸福活动，降低信访成本，维护信访秩序。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 w:eastAsia="zh-CN" w:bidi="ar"/>
              </w:rPr>
              <w:t>充分发挥几个</w:t>
            </w:r>
            <w:r>
              <w:rPr>
                <w:rFonts w:ascii="宋体" w:hAnsi="宋体" w:eastAsia="宋体" w:cs="宋体"/>
                <w:i w:val="0"/>
                <w:iCs w:val="0"/>
                <w:color w:val="000000"/>
                <w:kern w:val="0"/>
                <w:sz w:val="18"/>
                <w:szCs w:val="18"/>
                <w:u w:val="none"/>
                <w:lang w:val="en-US" w:eastAsia="zh-CN" w:bidi="ar"/>
              </w:rPr>
              <w:t>部门联系服务群众的职能作用，推动依法及时解决信访问题，切实把矛盾和问题解决在当地，实现工作下移，形成文明有序的信访秩序。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转送群众来信、传送告知单、寄送文件资料次数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80件</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给据类群众来信签收核对率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信访事项及时受理率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对工作的促进作用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信访事项处理群众满意率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项目负责人：徐滔</w:t>
            </w:r>
          </w:p>
        </w:tc>
        <w:tc>
          <w:tcPr>
            <w:tcW w:w="24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财务负责人：郭东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51162221T000000093158-临时驻京驻蓉信访维稳工作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北京、成都是我国重要城市，经济、文化等中心，也是我国各单位工作地点，为维护两地重大活动良好有序的开展，群众应在规定的接待场所有序表达自己的利益诉求，根据中省市县关于信访维稳工作的要求，避免在重大活动期间出现越级信访、缠访、闹访和集体性上访等情况，根据职责职能分工，我局派遣工作人员长期或临时驻京驻蓉，有利于及时劝返群众，化解矛盾纠纷，维护社会和谐稳定。</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根据职责职能分工，我局派遣工作人员长期或临时驻京驻蓉，有利于及时劝返群众，化解矛盾纠纷，维护社会和谐稳定。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维护两地重大活动良好有序的开展，群众应在规定的接待场所有序表达自己的利益诉求，根据中省市县关于信访维稳工作的要求，避免在重大活动期间出现越级信访、缠访、闹访和集体性上访等情况，根据职责职能分工，我局派遣工作人员长期或临时驻京驻蓉，有利于及时劝返群众，化解矛盾纠纷，维护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及时处置劝返进京赴省人员数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10人</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有效劝返，保障北京、成都稳定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5人</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按照时限规定完成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个工作日</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15个工作日</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促进社会和谐稳定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及时处置矛盾纠纷获群众认可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项目负责人：徐滔</w:t>
            </w:r>
          </w:p>
        </w:tc>
        <w:tc>
          <w:tcPr>
            <w:tcW w:w="24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财务负责人：郭东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51162222T000000360803-网络投诉受理日常工作经费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网络投诉平台由国家信访局创建，四川省委、省政府对网上信访工作十分重视，创建四川省网上信访信息系统，并纳入全面深化改革创新</w:t>
            </w:r>
            <w:r>
              <w:rPr>
                <w:rFonts w:ascii="宋体" w:hAnsi="宋体" w:cs="宋体"/>
                <w:i w:val="0"/>
                <w:iCs w:val="0"/>
                <w:color w:val="000000"/>
                <w:kern w:val="0"/>
                <w:sz w:val="18"/>
                <w:szCs w:val="18"/>
                <w:u w:val="none"/>
                <w:lang w:val="en" w:eastAsia="zh-CN" w:bidi="ar"/>
              </w:rPr>
              <w:t>社会治理体系</w:t>
            </w:r>
            <w:r>
              <w:rPr>
                <w:rFonts w:ascii="宋体" w:hAnsi="宋体" w:eastAsia="宋体" w:cs="宋体"/>
                <w:i w:val="0"/>
                <w:iCs w:val="0"/>
                <w:color w:val="000000"/>
                <w:kern w:val="0"/>
                <w:sz w:val="18"/>
                <w:szCs w:val="18"/>
                <w:u w:val="none"/>
                <w:lang w:val="en-US" w:eastAsia="zh-CN" w:bidi="ar"/>
              </w:rPr>
              <w:t>的重要内容，形成一套有四川特色的网上信访工作。实现“互联网+信访工作”深度融合，做好网上信访工作有利于顺应群众期盼，进一步拓宽信访渠道，正确引导群众有序反映诉求、及时就地解决问题；有利于降低信访成本，让数据多跑路、群众少跑腿，提高信访事项办理的质量和效率；有利于办理过程和处理结果公开透明，打造“阳光信访”，提高信访工作公信力。</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现“互联网+信访工作”深度融合，做好网上信访工作有利于顺应群众期盼，进一步拓宽信访渠道，正确引导群众有序反映诉求、及时就地解决问题；有利于降低信访成本，让数据多跑路、群众少跑腿，提高信访事项办理的质量和效率；有利于办理过程和处理结果公开透明，打造“阳光信访”，提高信访工作公信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实现“互联网+信访工作”深度融合，做好网上信访工作有利于顺应群众期盼，进一步拓宽信访渠道，正确引导群众有序反映诉求、及时就地解决问题。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办理各级各类信访事项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800件</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各级各类信访事项办理质量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各级各类信访事项办理时限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60日</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对工作的促进作用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信访事项处理群众满意率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项目负责人：徐滔</w:t>
            </w:r>
          </w:p>
        </w:tc>
        <w:tc>
          <w:tcPr>
            <w:tcW w:w="24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财务负责人：郭东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51162221T000000093244-系统和平台服务费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接访部门是受理群众来访，调处矛盾纠纷，化解信访问题，在新形势下的接访工作，国家信访局创建全国视频接访系统，四川</w:t>
            </w:r>
            <w:r>
              <w:rPr>
                <w:rFonts w:hint="eastAsia" w:ascii="宋体" w:hAnsi="宋体" w:cs="宋体"/>
                <w:i w:val="0"/>
                <w:iCs w:val="0"/>
                <w:color w:val="000000"/>
                <w:kern w:val="0"/>
                <w:sz w:val="18"/>
                <w:szCs w:val="18"/>
                <w:u w:val="none"/>
                <w:lang w:val="en-US" w:eastAsia="zh-CN" w:bidi="ar"/>
              </w:rPr>
              <w:t>省委、省政府</w:t>
            </w:r>
            <w:r>
              <w:rPr>
                <w:rFonts w:ascii="宋体" w:hAnsi="宋体" w:eastAsia="宋体" w:cs="宋体"/>
                <w:i w:val="0"/>
                <w:iCs w:val="0"/>
                <w:color w:val="000000"/>
                <w:kern w:val="0"/>
                <w:sz w:val="18"/>
                <w:szCs w:val="18"/>
                <w:u w:val="none"/>
                <w:lang w:val="en-US" w:eastAsia="zh-CN" w:bidi="ar"/>
              </w:rPr>
              <w:t>高度重视，四川省依托国家信访局视频接访系统创建四川省视频接访系统和四川省网上信访信息系统，畅通信访渠道，减少群众信访上行和成本。</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畅通信访渠道，减少群众信访上行和成本。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畅通信访渠道，减少群众信访上行和成本。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系统维护次数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1次/年</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使用情况</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1次/年</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完成情况</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对工作的促进作用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项目负责人：徐滔</w:t>
            </w:r>
          </w:p>
        </w:tc>
        <w:tc>
          <w:tcPr>
            <w:tcW w:w="24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财务负责人：郭东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51162221T000000093113-联席会议经费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我县根据</w:t>
            </w:r>
            <w:r>
              <w:rPr>
                <w:rFonts w:hint="eastAsia" w:ascii="宋体" w:hAnsi="宋体" w:cs="宋体"/>
                <w:i w:val="0"/>
                <w:iCs w:val="0"/>
                <w:color w:val="000000"/>
                <w:kern w:val="0"/>
                <w:sz w:val="18"/>
                <w:szCs w:val="18"/>
                <w:u w:val="none"/>
                <w:lang w:val="en-US" w:eastAsia="zh-CN" w:bidi="ar"/>
              </w:rPr>
              <w:t>《信访工作条例》</w:t>
            </w:r>
            <w:r>
              <w:rPr>
                <w:rFonts w:ascii="宋体" w:hAnsi="宋体" w:eastAsia="宋体" w:cs="宋体"/>
                <w:i w:val="0"/>
                <w:iCs w:val="0"/>
                <w:color w:val="000000"/>
                <w:kern w:val="0"/>
                <w:sz w:val="18"/>
                <w:szCs w:val="18"/>
                <w:u w:val="none"/>
                <w:lang w:val="en-US" w:eastAsia="zh-CN" w:bidi="ar"/>
              </w:rPr>
              <w:t>相关规定，建立信访工作联席会议机制，联席会议是加强党对信访工作领导的重要抓手。武胜县信访联席会议充分发挥信访工作联席会议综合协调、组织推动、督导落实等职能作用，在全县建立了完备的联席会议体系，有效促进了信访问题及时就地化解，取得了良好工作成效。近年来，全县信访形势持续向好、信访量持续下降。</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武胜县信访联席会议充分发挥信访工作联席会议综合协调、组织推动、督导落实等职能作用，在全县建立了完备的联席会议体系，有效促进了信访问题及时就地化解，取得了良好工作成效。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武胜县信访联席会议充分发挥信访工作联席会议综合协调、组织推动、督导落实等职能作用，在全县建立了完备的联席会议体系，有效促进了信访问题及时就地化解，取得了良好工作成效。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办文办会，工作小组及部门、乡镇综合办事次数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5次/年</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规范办理信访事项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按规定时限办结信访事项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60日</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对工作的促进作用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信访事项处理群众满意率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项目负责人：徐滔</w:t>
            </w:r>
          </w:p>
        </w:tc>
        <w:tc>
          <w:tcPr>
            <w:tcW w:w="24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财务负责人：郭东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51162221T000000093358-组织</w:t>
            </w:r>
            <w:r>
              <w:rPr>
                <w:rFonts w:ascii="宋体" w:hAnsi="宋体" w:cs="宋体"/>
                <w:i w:val="0"/>
                <w:iCs w:val="0"/>
                <w:color w:val="000000"/>
                <w:kern w:val="0"/>
                <w:sz w:val="18"/>
                <w:szCs w:val="18"/>
                <w:u w:val="none"/>
                <w:lang w:val="en" w:eastAsia="zh-CN" w:bidi="ar"/>
              </w:rPr>
              <w:t>安排</w:t>
            </w:r>
            <w:r>
              <w:rPr>
                <w:rFonts w:ascii="宋体" w:hAnsi="宋体" w:eastAsia="宋体" w:cs="宋体"/>
                <w:i w:val="0"/>
                <w:iCs w:val="0"/>
                <w:color w:val="000000"/>
                <w:kern w:val="0"/>
                <w:sz w:val="18"/>
                <w:szCs w:val="18"/>
                <w:u w:val="none"/>
                <w:lang w:val="en-US" w:eastAsia="zh-CN" w:bidi="ar"/>
              </w:rPr>
              <w:t>挂职人员经费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挂职是培养、锻炼年轻干部的重要手段，信访工作是党和政府联系人民群众的纽带、了解社情民意的窗口，对维护社会稳定、保障人民群众切身利益起到重要作用，信访工作的好坏直接体现了党和政府相关政策在基层是否得到落实，我单位根据《中华人民共和国公务员法》之规定，选派挂职人员，通过学习和挂职的实践，坚定了广大信访干部做好信访工作的信心，为今后开展工作创造有利条件。</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选派挂职人员，通过学习和挂职的实践，坚定了广大信访干部做好信访工作的信心，为今后开展工作创造有利条件。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选派挂职人员，通过学习和挂职的实践，坚定了广大信访干部做好信访工作的信心，为今后开展工作创造有利条件。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上挂职人数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2人</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挂职锻炼的效果</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对工作的促进作用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上挂单位对挂职人员的满意度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项目负责人：徐滔</w:t>
            </w:r>
          </w:p>
        </w:tc>
        <w:tc>
          <w:tcPr>
            <w:tcW w:w="24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财务负责人：郭东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51162223T000009572396-信访稳定工作经费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该项目主要保障长期驻京，驻蓉信访稳定工作，妥善劝返和处置非正常上访和集体上访，畅通信访渠道，化解社会矛盾，创造稳定的政治环境。</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保障长期驻京，驻蓉信访稳定工作，妥善劝返和处置非正常上访和集体上访，畅通信访渠道，化解社会矛盾，创造稳定的政治环境。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保障长期驻京，驻蓉信访稳定工作，妥善劝返和处置非正常上访和集体上访，畅通信访渠道，化解社会矛盾，创造稳定的政治环境。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及时处置劝返进京赴省人员数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10人</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有效劝返，保障北京、成都稳定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5人</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按照时限规定完成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个工作日</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15个工作日</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促进社会和谐稳定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及时处置矛盾纠纷获群众认可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项目负责人：徐滔</w:t>
            </w:r>
          </w:p>
        </w:tc>
        <w:tc>
          <w:tcPr>
            <w:tcW w:w="24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财务负责人：郭东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51162223T000008554543-信创工作经费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完成台式电脑替代工作</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完成台式电脑替代工作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完成台式电脑替代工作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购买电脑数量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3台</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保证工作正常开展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r>
              <w:rPr>
                <w:rFonts w:hint="eastAsia" w:ascii="宋体" w:hAnsi="宋体" w:cs="宋体"/>
                <w:i w:val="0"/>
                <w:iCs w:val="0"/>
                <w:color w:val="000000"/>
                <w:kern w:val="0"/>
                <w:sz w:val="18"/>
                <w:szCs w:val="18"/>
                <w:u w:val="none"/>
                <w:lang w:val="en-US" w:eastAsia="zh-CN" w:bidi="ar"/>
              </w:rPr>
              <w:t>县委、县政府</w:t>
            </w:r>
            <w:r>
              <w:rPr>
                <w:rFonts w:ascii="宋体" w:hAnsi="宋体" w:eastAsia="宋体" w:cs="宋体"/>
                <w:i w:val="0"/>
                <w:iCs w:val="0"/>
                <w:color w:val="000000"/>
                <w:kern w:val="0"/>
                <w:sz w:val="18"/>
                <w:szCs w:val="18"/>
                <w:u w:val="none"/>
                <w:lang w:val="en-US" w:eastAsia="zh-CN" w:bidi="ar"/>
              </w:rPr>
              <w:t>交办工作</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项目负责人：徐滔</w:t>
            </w:r>
          </w:p>
        </w:tc>
        <w:tc>
          <w:tcPr>
            <w:tcW w:w="24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财务负责人：郭东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51162224T000009968322-信访日常工作经费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保障信访工作的开展</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保障信访工作的开展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保障信访工作的开展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工作任务数量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个工作日</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95个工作日</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促进社会和谐稳定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相关人员满意度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项目负责人：徐滔</w:t>
            </w:r>
          </w:p>
        </w:tc>
        <w:tc>
          <w:tcPr>
            <w:tcW w:w="24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财务负责人：郭东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51162223T000009742993-信访工作经费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保障专项活动期间信访稳定工作，妥善劝返和处置非正常上访和集体上访，畅通信访渠道，化解社会矛盾，创造稳定的政治环境。</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妥善劝返和处置非正常上访和集体上访，畅通信访渠道，化解社会矛盾，创造稳定的政治环境。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妥善劝返和处置非正常上访和集体上访，畅通信访渠道，化解社会矛盾，创造稳定的政治环境。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及时处置劝返赴省人员数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&lt;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10人</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到岗履职</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按照时限规定完成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促进社会和谐稳定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及时处置矛盾纠纷获群众认可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项目负责人：徐滔</w:t>
            </w:r>
          </w:p>
        </w:tc>
        <w:tc>
          <w:tcPr>
            <w:tcW w:w="24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财务负责人：郭东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51162223T000009739254-“大运会”期间信访稳定工作经费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武胜县信访局办公室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根据中省市县关于信访稳定工作的要求，避免在重大活动期间出现越级信访，缠访，闹访和集体性上访等情况，及时劝返群众，化解矛盾纠纷，维护社会和谐稳定。</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及时劝返群众，化解矛盾纠纷，维护社会和谐稳定。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及时劝返群众，化解矛盾纠纷，维护社会和谐稳定。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有交劝返进京赴省信访人员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及时处置劝返进京赴省人员数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按照时限规定完成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个工作日</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15个工作日</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促进社会和谐稳定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群众认可度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2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项目负责人：徐滔</w:t>
            </w:r>
          </w:p>
        </w:tc>
        <w:tc>
          <w:tcPr>
            <w:tcW w:w="24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财务负责人：郭东</w:t>
            </w:r>
          </w:p>
        </w:tc>
      </w:tr>
    </w:tbl>
    <w:p>
      <w:pPr>
        <w:rPr>
          <w:rStyle w:val="38"/>
          <w:rFonts w:hint="eastAsia" w:ascii="黑体" w:hAnsi="黑体" w:eastAsia="黑体"/>
          <w:b w:val="0"/>
          <w:color w:val="auto"/>
          <w:highlight w:val="none"/>
        </w:rPr>
      </w:pPr>
      <w:r>
        <w:rPr>
          <w:rStyle w:val="38"/>
          <w:rFonts w:hint="eastAsia" w:ascii="黑体" w:hAnsi="黑体" w:eastAsia="黑体"/>
          <w:b w:val="0"/>
          <w:color w:val="auto"/>
          <w:highlight w:val="none"/>
        </w:rPr>
        <w:br w:type="page"/>
      </w:r>
    </w:p>
    <w:p>
      <w:pPr>
        <w:suppressAutoHyphens/>
        <w:bidi w:val="0"/>
        <w:spacing w:line="600" w:lineRule="exact"/>
        <w:jc w:val="center"/>
        <w:outlineLvl w:val="0"/>
        <w:rPr>
          <w:rFonts w:hint="eastAsia" w:ascii="思源黑体 CN Normal" w:hAnsi="思源黑体 CN Normal" w:eastAsia="思源黑体 CN Normal" w:cs="思源黑体 CN Normal"/>
          <w:b w:val="0"/>
          <w:bCs w:val="0"/>
        </w:rPr>
      </w:pPr>
      <w:r>
        <w:rPr>
          <w:rStyle w:val="38"/>
          <w:rFonts w:hint="eastAsia" w:ascii="黑体" w:hAnsi="黑体" w:eastAsia="黑体"/>
          <w:b w:val="0"/>
          <w:color w:val="auto"/>
          <w:highlight w:val="none"/>
        </w:rPr>
        <w:t>第五部分 附表</w:t>
      </w:r>
      <w:bookmarkEnd w:id="75"/>
      <w:bookmarkEnd w:id="76"/>
      <w:bookmarkEnd w:id="77"/>
      <w:bookmarkEnd w:id="78"/>
    </w:p>
    <w:p>
      <w:pPr>
        <w:pStyle w:val="3"/>
        <w:ind w:firstLine="640" w:firstLineChars="200"/>
        <w:rPr>
          <w:rFonts w:hint="eastAsia" w:ascii="仿宋" w:hAnsi="仿宋" w:eastAsia="仿宋" w:cs="仿宋"/>
          <w:b w:val="0"/>
          <w:bCs/>
          <w:color w:val="000000"/>
        </w:rPr>
      </w:pPr>
      <w:bookmarkStart w:id="79" w:name="_Toc16431"/>
      <w:r>
        <w:rPr>
          <w:rFonts w:hint="eastAsia" w:ascii="仿宋" w:hAnsi="仿宋" w:eastAsia="仿宋" w:cs="仿宋"/>
          <w:b w:val="0"/>
          <w:bCs/>
          <w:color w:val="000000"/>
        </w:rPr>
        <w:t>一、收入支出决算总表</w:t>
      </w:r>
      <w:bookmarkEnd w:id="79"/>
    </w:p>
    <w:p>
      <w:pPr>
        <w:pStyle w:val="3"/>
        <w:ind w:firstLine="640" w:firstLineChars="200"/>
        <w:rPr>
          <w:rFonts w:hint="eastAsia" w:ascii="仿宋" w:hAnsi="仿宋" w:eastAsia="仿宋" w:cs="仿宋"/>
          <w:b w:val="0"/>
          <w:bCs/>
          <w:color w:val="000000"/>
        </w:rPr>
      </w:pPr>
      <w:bookmarkStart w:id="80" w:name="_Toc25389"/>
      <w:r>
        <w:rPr>
          <w:rFonts w:hint="eastAsia" w:ascii="仿宋" w:hAnsi="仿宋" w:eastAsia="仿宋" w:cs="仿宋"/>
          <w:b w:val="0"/>
          <w:bCs/>
          <w:color w:val="000000"/>
        </w:rPr>
        <w:t>二、收入决算表</w:t>
      </w:r>
      <w:bookmarkEnd w:id="80"/>
    </w:p>
    <w:p>
      <w:pPr>
        <w:pStyle w:val="3"/>
        <w:ind w:firstLine="640" w:firstLineChars="200"/>
        <w:rPr>
          <w:rFonts w:hint="eastAsia" w:ascii="仿宋" w:hAnsi="仿宋" w:eastAsia="仿宋" w:cs="仿宋"/>
          <w:b w:val="0"/>
          <w:bCs/>
          <w:color w:val="000000"/>
        </w:rPr>
      </w:pPr>
      <w:bookmarkStart w:id="81" w:name="_Toc10450"/>
      <w:r>
        <w:rPr>
          <w:rFonts w:hint="eastAsia" w:ascii="仿宋" w:hAnsi="仿宋" w:eastAsia="仿宋" w:cs="仿宋"/>
          <w:b w:val="0"/>
          <w:bCs/>
          <w:color w:val="000000"/>
        </w:rPr>
        <w:t>三、支出决算表</w:t>
      </w:r>
      <w:bookmarkEnd w:id="81"/>
    </w:p>
    <w:p>
      <w:pPr>
        <w:pStyle w:val="3"/>
        <w:ind w:firstLine="640" w:firstLineChars="200"/>
        <w:rPr>
          <w:rFonts w:hint="eastAsia" w:ascii="仿宋" w:hAnsi="仿宋" w:eastAsia="仿宋" w:cs="仿宋"/>
          <w:b w:val="0"/>
          <w:bCs/>
          <w:color w:val="000000"/>
        </w:rPr>
      </w:pPr>
      <w:bookmarkStart w:id="82" w:name="_Toc15415"/>
      <w:r>
        <w:rPr>
          <w:rFonts w:hint="eastAsia" w:ascii="仿宋" w:hAnsi="仿宋" w:eastAsia="仿宋" w:cs="仿宋"/>
          <w:b w:val="0"/>
          <w:bCs/>
          <w:color w:val="000000"/>
        </w:rPr>
        <w:t>四、财政拨款收入支出决算总表</w:t>
      </w:r>
      <w:bookmarkEnd w:id="82"/>
    </w:p>
    <w:p>
      <w:pPr>
        <w:pStyle w:val="3"/>
        <w:ind w:firstLine="640" w:firstLineChars="200"/>
        <w:rPr>
          <w:rFonts w:hint="eastAsia" w:ascii="仿宋" w:hAnsi="仿宋" w:eastAsia="仿宋" w:cs="仿宋"/>
          <w:b w:val="0"/>
          <w:bCs/>
          <w:color w:val="000000"/>
        </w:rPr>
      </w:pPr>
      <w:bookmarkStart w:id="83" w:name="_Toc17530"/>
      <w:r>
        <w:rPr>
          <w:rFonts w:hint="eastAsia" w:ascii="仿宋" w:hAnsi="仿宋" w:eastAsia="仿宋" w:cs="仿宋"/>
          <w:b w:val="0"/>
          <w:bCs/>
          <w:color w:val="000000"/>
        </w:rPr>
        <w:t>五、财政拨款支出决算明细表</w:t>
      </w:r>
      <w:bookmarkEnd w:id="83"/>
    </w:p>
    <w:p>
      <w:pPr>
        <w:pStyle w:val="3"/>
        <w:ind w:firstLine="640" w:firstLineChars="200"/>
        <w:rPr>
          <w:rFonts w:hint="eastAsia" w:ascii="仿宋" w:hAnsi="仿宋" w:eastAsia="仿宋" w:cs="仿宋"/>
          <w:b w:val="0"/>
          <w:bCs/>
          <w:color w:val="000000"/>
        </w:rPr>
      </w:pPr>
      <w:bookmarkStart w:id="84" w:name="_Toc22032"/>
      <w:r>
        <w:rPr>
          <w:rFonts w:hint="eastAsia" w:ascii="仿宋" w:hAnsi="仿宋" w:eastAsia="仿宋" w:cs="仿宋"/>
          <w:b w:val="0"/>
          <w:bCs/>
          <w:color w:val="000000"/>
        </w:rPr>
        <w:t>六、一般公共预算财政拨款支出决算表</w:t>
      </w:r>
      <w:bookmarkEnd w:id="84"/>
    </w:p>
    <w:p>
      <w:pPr>
        <w:pStyle w:val="3"/>
        <w:ind w:firstLine="640" w:firstLineChars="200"/>
        <w:rPr>
          <w:rFonts w:hint="eastAsia" w:ascii="仿宋" w:hAnsi="仿宋" w:eastAsia="仿宋" w:cs="仿宋"/>
          <w:b w:val="0"/>
          <w:bCs/>
          <w:color w:val="000000"/>
        </w:rPr>
      </w:pPr>
      <w:bookmarkStart w:id="85" w:name="_Toc3364"/>
      <w:r>
        <w:rPr>
          <w:rFonts w:hint="eastAsia" w:ascii="仿宋" w:hAnsi="仿宋" w:eastAsia="仿宋" w:cs="仿宋"/>
          <w:b w:val="0"/>
          <w:bCs/>
          <w:color w:val="000000"/>
        </w:rPr>
        <w:t>七、一般公共预算财政拨款支出决算明细表</w:t>
      </w:r>
      <w:bookmarkEnd w:id="85"/>
    </w:p>
    <w:p>
      <w:pPr>
        <w:pStyle w:val="3"/>
        <w:ind w:firstLine="640" w:firstLineChars="200"/>
        <w:rPr>
          <w:rFonts w:hint="eastAsia" w:ascii="仿宋" w:hAnsi="仿宋" w:eastAsia="仿宋" w:cs="仿宋"/>
          <w:b w:val="0"/>
          <w:bCs/>
          <w:color w:val="000000"/>
        </w:rPr>
      </w:pPr>
      <w:bookmarkStart w:id="86" w:name="_Toc9110"/>
      <w:r>
        <w:rPr>
          <w:rFonts w:hint="eastAsia" w:ascii="仿宋" w:hAnsi="仿宋" w:eastAsia="仿宋" w:cs="仿宋"/>
          <w:b w:val="0"/>
          <w:bCs/>
          <w:color w:val="000000"/>
        </w:rPr>
        <w:t>八、一般公共预算财政拨款基本支出决算表</w:t>
      </w:r>
      <w:bookmarkEnd w:id="86"/>
    </w:p>
    <w:p>
      <w:pPr>
        <w:pStyle w:val="3"/>
        <w:ind w:firstLine="640" w:firstLineChars="200"/>
        <w:rPr>
          <w:rFonts w:hint="eastAsia" w:ascii="仿宋" w:hAnsi="仿宋" w:eastAsia="仿宋" w:cs="仿宋"/>
          <w:b w:val="0"/>
          <w:bCs/>
          <w:color w:val="000000"/>
        </w:rPr>
      </w:pPr>
      <w:bookmarkStart w:id="87" w:name="_Toc28582"/>
      <w:r>
        <w:rPr>
          <w:rFonts w:hint="eastAsia" w:ascii="仿宋" w:hAnsi="仿宋" w:eastAsia="仿宋" w:cs="仿宋"/>
          <w:b w:val="0"/>
          <w:bCs/>
          <w:color w:val="000000"/>
        </w:rPr>
        <w:t>九、一般公共预算财政拨款项目支出决算表</w:t>
      </w:r>
      <w:bookmarkEnd w:id="87"/>
    </w:p>
    <w:p>
      <w:pPr>
        <w:pStyle w:val="3"/>
        <w:ind w:firstLine="640" w:firstLineChars="200"/>
        <w:rPr>
          <w:rFonts w:hint="eastAsia" w:ascii="仿宋" w:hAnsi="仿宋" w:eastAsia="仿宋" w:cs="仿宋"/>
          <w:b w:val="0"/>
          <w:bCs/>
          <w:color w:val="000000"/>
        </w:rPr>
      </w:pPr>
      <w:bookmarkStart w:id="88" w:name="_Toc22001"/>
      <w:r>
        <w:rPr>
          <w:rFonts w:hint="eastAsia" w:ascii="仿宋" w:hAnsi="仿宋" w:eastAsia="仿宋" w:cs="仿宋"/>
          <w:b w:val="0"/>
          <w:bCs/>
          <w:color w:val="000000"/>
        </w:rPr>
        <w:t>十、政府性基金预算财政拨款收入支出决算表</w:t>
      </w:r>
      <w:bookmarkEnd w:id="88"/>
    </w:p>
    <w:p>
      <w:pPr>
        <w:pStyle w:val="3"/>
        <w:ind w:firstLine="640" w:firstLineChars="200"/>
        <w:rPr>
          <w:rFonts w:hint="eastAsia" w:ascii="仿宋" w:hAnsi="仿宋" w:eastAsia="仿宋" w:cs="仿宋"/>
          <w:b w:val="0"/>
          <w:bCs/>
          <w:color w:val="000000"/>
        </w:rPr>
      </w:pPr>
      <w:bookmarkStart w:id="89" w:name="_Toc6538"/>
      <w:r>
        <w:rPr>
          <w:rFonts w:hint="eastAsia" w:ascii="仿宋" w:hAnsi="仿宋" w:eastAsia="仿宋" w:cs="仿宋"/>
          <w:b w:val="0"/>
          <w:bCs/>
          <w:color w:val="000000"/>
        </w:rPr>
        <w:t>十一、国有资本经营预算财政拨款收入支出决算表</w:t>
      </w:r>
      <w:bookmarkEnd w:id="89"/>
    </w:p>
    <w:p>
      <w:pPr>
        <w:pStyle w:val="3"/>
        <w:ind w:firstLine="640" w:firstLineChars="200"/>
        <w:rPr>
          <w:rFonts w:hint="eastAsia" w:ascii="仿宋" w:hAnsi="仿宋" w:eastAsia="仿宋" w:cs="仿宋"/>
          <w:b w:val="0"/>
          <w:bCs/>
          <w:color w:val="000000"/>
        </w:rPr>
      </w:pPr>
      <w:bookmarkStart w:id="90" w:name="_Toc10625"/>
      <w:r>
        <w:rPr>
          <w:rFonts w:hint="eastAsia" w:ascii="仿宋" w:hAnsi="仿宋" w:eastAsia="仿宋" w:cs="仿宋"/>
          <w:b w:val="0"/>
          <w:bCs/>
          <w:color w:val="000000"/>
        </w:rPr>
        <w:t>十二、国有资本经营预算财政拨款支出决算表</w:t>
      </w:r>
      <w:bookmarkEnd w:id="90"/>
    </w:p>
    <w:p>
      <w:pPr>
        <w:pStyle w:val="3"/>
        <w:ind w:firstLine="640" w:firstLineChars="200"/>
        <w:rPr>
          <w:rFonts w:hint="eastAsia" w:ascii="仿宋" w:hAnsi="仿宋" w:eastAsia="仿宋" w:cs="仿宋"/>
          <w:b w:val="0"/>
          <w:bCs/>
          <w:color w:val="000000"/>
        </w:rPr>
      </w:pPr>
      <w:bookmarkStart w:id="91" w:name="_Toc28356"/>
      <w:r>
        <w:rPr>
          <w:rFonts w:hint="eastAsia" w:ascii="仿宋" w:hAnsi="仿宋" w:eastAsia="仿宋" w:cs="仿宋"/>
          <w:b w:val="0"/>
          <w:bCs/>
          <w:color w:val="000000"/>
        </w:rPr>
        <w:t>十三、财政拨款“三公”经费支出决算表</w:t>
      </w:r>
      <w:bookmarkEnd w:id="91"/>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宋体"/>
    <w:panose1 w:val="00000000000000000000"/>
    <w:charset w:val="86"/>
    <w:family w:val="modern"/>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思源黑体 CN Normal">
    <w:altName w:val="方正黑体_GBK"/>
    <w:panose1 w:val="020B0400000000000000"/>
    <w:charset w:val="86"/>
    <w:family w:val="auto"/>
    <w:pitch w:val="default"/>
    <w:sig w:usb0="00000000" w:usb1="00000000" w:usb2="00000016" w:usb3="00000000" w:csb0="60060107"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5"/>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sdt>
                    <w:sdtPr>
                      <w:id w:val="147464856"/>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5"/>
                    </w:pP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1YzgwMWEyZGI3NzEzMTk3M2I4OGZmNzg3YTJjNjI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5647CC"/>
    <w:rsid w:val="0463543B"/>
    <w:rsid w:val="048D6B52"/>
    <w:rsid w:val="04A56E6E"/>
    <w:rsid w:val="04D45254"/>
    <w:rsid w:val="04D550AF"/>
    <w:rsid w:val="051A6F96"/>
    <w:rsid w:val="05C25E8C"/>
    <w:rsid w:val="06951176"/>
    <w:rsid w:val="07001BE1"/>
    <w:rsid w:val="07267DE7"/>
    <w:rsid w:val="088F55D5"/>
    <w:rsid w:val="089C4B49"/>
    <w:rsid w:val="09081517"/>
    <w:rsid w:val="091B747D"/>
    <w:rsid w:val="092E626A"/>
    <w:rsid w:val="09A572B6"/>
    <w:rsid w:val="0A19737C"/>
    <w:rsid w:val="0B7218AA"/>
    <w:rsid w:val="0B8B2767"/>
    <w:rsid w:val="0B99373B"/>
    <w:rsid w:val="0BA37CB5"/>
    <w:rsid w:val="0D0429D6"/>
    <w:rsid w:val="0D093B48"/>
    <w:rsid w:val="0D322E51"/>
    <w:rsid w:val="0D6C338E"/>
    <w:rsid w:val="0DB37F58"/>
    <w:rsid w:val="0E6D2010"/>
    <w:rsid w:val="0EC00B7E"/>
    <w:rsid w:val="0F5E6610"/>
    <w:rsid w:val="0FB52B86"/>
    <w:rsid w:val="0FDB629D"/>
    <w:rsid w:val="0FFD0B0D"/>
    <w:rsid w:val="103747CF"/>
    <w:rsid w:val="103F4D68"/>
    <w:rsid w:val="10C055FF"/>
    <w:rsid w:val="116A6D7C"/>
    <w:rsid w:val="11761AF6"/>
    <w:rsid w:val="11851C0B"/>
    <w:rsid w:val="11D56DF6"/>
    <w:rsid w:val="11ED6591"/>
    <w:rsid w:val="11F85D8C"/>
    <w:rsid w:val="13367661"/>
    <w:rsid w:val="136F089E"/>
    <w:rsid w:val="13D81ACD"/>
    <w:rsid w:val="14D728AA"/>
    <w:rsid w:val="15F1786F"/>
    <w:rsid w:val="1665477F"/>
    <w:rsid w:val="16BB723D"/>
    <w:rsid w:val="17283764"/>
    <w:rsid w:val="17BC7656"/>
    <w:rsid w:val="17EA348C"/>
    <w:rsid w:val="1840212F"/>
    <w:rsid w:val="184656CF"/>
    <w:rsid w:val="193C261A"/>
    <w:rsid w:val="19934117"/>
    <w:rsid w:val="19943114"/>
    <w:rsid w:val="19DE22C0"/>
    <w:rsid w:val="1AB026BC"/>
    <w:rsid w:val="1ABB32B6"/>
    <w:rsid w:val="1B787B60"/>
    <w:rsid w:val="1BF70747"/>
    <w:rsid w:val="1C06153F"/>
    <w:rsid w:val="1C986C96"/>
    <w:rsid w:val="1D7371C3"/>
    <w:rsid w:val="1DDC2BB3"/>
    <w:rsid w:val="1E34479D"/>
    <w:rsid w:val="1EF81F78"/>
    <w:rsid w:val="1F620905"/>
    <w:rsid w:val="1FD12B34"/>
    <w:rsid w:val="201A6AB0"/>
    <w:rsid w:val="203B66A0"/>
    <w:rsid w:val="206D278F"/>
    <w:rsid w:val="211A679A"/>
    <w:rsid w:val="21253DA0"/>
    <w:rsid w:val="22857975"/>
    <w:rsid w:val="23844B7E"/>
    <w:rsid w:val="23902475"/>
    <w:rsid w:val="23FA0B3C"/>
    <w:rsid w:val="240371BF"/>
    <w:rsid w:val="2435534E"/>
    <w:rsid w:val="244017F7"/>
    <w:rsid w:val="24534F10"/>
    <w:rsid w:val="24DF6C66"/>
    <w:rsid w:val="253D03DB"/>
    <w:rsid w:val="253F66D1"/>
    <w:rsid w:val="25A20B86"/>
    <w:rsid w:val="25B1070F"/>
    <w:rsid w:val="25DD571A"/>
    <w:rsid w:val="265C1D1F"/>
    <w:rsid w:val="26BB36DB"/>
    <w:rsid w:val="271C5A93"/>
    <w:rsid w:val="276F1834"/>
    <w:rsid w:val="27B459F9"/>
    <w:rsid w:val="27C51E91"/>
    <w:rsid w:val="280173B2"/>
    <w:rsid w:val="28513369"/>
    <w:rsid w:val="28BF6D42"/>
    <w:rsid w:val="28C822A0"/>
    <w:rsid w:val="292E058E"/>
    <w:rsid w:val="29FD04D3"/>
    <w:rsid w:val="2C1E1BB4"/>
    <w:rsid w:val="2CAE1BBE"/>
    <w:rsid w:val="2CCF04B2"/>
    <w:rsid w:val="2DF079DB"/>
    <w:rsid w:val="2E4C04E0"/>
    <w:rsid w:val="2E67588F"/>
    <w:rsid w:val="2F803D16"/>
    <w:rsid w:val="2F831BE7"/>
    <w:rsid w:val="2FF22B1D"/>
    <w:rsid w:val="30CB71E3"/>
    <w:rsid w:val="30E36C85"/>
    <w:rsid w:val="31810DA9"/>
    <w:rsid w:val="31903F88"/>
    <w:rsid w:val="319F7F4E"/>
    <w:rsid w:val="31B72CAD"/>
    <w:rsid w:val="32004B5E"/>
    <w:rsid w:val="323A1C2F"/>
    <w:rsid w:val="329448A6"/>
    <w:rsid w:val="32F45598"/>
    <w:rsid w:val="33204932"/>
    <w:rsid w:val="33447C07"/>
    <w:rsid w:val="345D075E"/>
    <w:rsid w:val="35244754"/>
    <w:rsid w:val="361C390A"/>
    <w:rsid w:val="364D41F6"/>
    <w:rsid w:val="36FD0156"/>
    <w:rsid w:val="38207F4E"/>
    <w:rsid w:val="38F8371D"/>
    <w:rsid w:val="39226F5F"/>
    <w:rsid w:val="39902098"/>
    <w:rsid w:val="39FD5F33"/>
    <w:rsid w:val="3A3A0F35"/>
    <w:rsid w:val="3A4E1148"/>
    <w:rsid w:val="3AF15A98"/>
    <w:rsid w:val="3C8D2F9D"/>
    <w:rsid w:val="3CE0510E"/>
    <w:rsid w:val="3D0E3B71"/>
    <w:rsid w:val="3D1927CA"/>
    <w:rsid w:val="3D1E4B3E"/>
    <w:rsid w:val="3D6F2272"/>
    <w:rsid w:val="3D8344ED"/>
    <w:rsid w:val="3E03620E"/>
    <w:rsid w:val="3E343C22"/>
    <w:rsid w:val="3F512FA9"/>
    <w:rsid w:val="3F7C601F"/>
    <w:rsid w:val="3FAC4683"/>
    <w:rsid w:val="3FEA5DFB"/>
    <w:rsid w:val="40035B02"/>
    <w:rsid w:val="401C35B7"/>
    <w:rsid w:val="4119235A"/>
    <w:rsid w:val="41677310"/>
    <w:rsid w:val="422C2C46"/>
    <w:rsid w:val="4251506E"/>
    <w:rsid w:val="42B75819"/>
    <w:rsid w:val="43684120"/>
    <w:rsid w:val="444F07DA"/>
    <w:rsid w:val="44601E28"/>
    <w:rsid w:val="472E4611"/>
    <w:rsid w:val="475E72DC"/>
    <w:rsid w:val="47F514AF"/>
    <w:rsid w:val="4839282C"/>
    <w:rsid w:val="48FD75BD"/>
    <w:rsid w:val="49243056"/>
    <w:rsid w:val="494C4A06"/>
    <w:rsid w:val="4A113668"/>
    <w:rsid w:val="4A745623"/>
    <w:rsid w:val="4B187071"/>
    <w:rsid w:val="4B2B2DCB"/>
    <w:rsid w:val="4B6A5BC2"/>
    <w:rsid w:val="4B6D2BD3"/>
    <w:rsid w:val="4C7555EC"/>
    <w:rsid w:val="4D135D42"/>
    <w:rsid w:val="4D846266"/>
    <w:rsid w:val="4D8D78A2"/>
    <w:rsid w:val="4DF123A8"/>
    <w:rsid w:val="4E290981"/>
    <w:rsid w:val="4E832A53"/>
    <w:rsid w:val="4E9E44C2"/>
    <w:rsid w:val="4EBC1A30"/>
    <w:rsid w:val="4F395B30"/>
    <w:rsid w:val="4F3B530F"/>
    <w:rsid w:val="4F6F7A34"/>
    <w:rsid w:val="4FD74194"/>
    <w:rsid w:val="4FDA49F5"/>
    <w:rsid w:val="50AE413E"/>
    <w:rsid w:val="51E1640E"/>
    <w:rsid w:val="51EE42CA"/>
    <w:rsid w:val="52195E38"/>
    <w:rsid w:val="52302EF2"/>
    <w:rsid w:val="526E48F5"/>
    <w:rsid w:val="52ED6284"/>
    <w:rsid w:val="5322283B"/>
    <w:rsid w:val="532B0C13"/>
    <w:rsid w:val="533D4F08"/>
    <w:rsid w:val="53BA6F17"/>
    <w:rsid w:val="53BE2B80"/>
    <w:rsid w:val="54136CE6"/>
    <w:rsid w:val="541505F1"/>
    <w:rsid w:val="542D2749"/>
    <w:rsid w:val="548B1B70"/>
    <w:rsid w:val="54992FD0"/>
    <w:rsid w:val="55872E29"/>
    <w:rsid w:val="56D0674C"/>
    <w:rsid w:val="57D23F06"/>
    <w:rsid w:val="58BA52C3"/>
    <w:rsid w:val="58BC5D23"/>
    <w:rsid w:val="59177DCC"/>
    <w:rsid w:val="59E040FC"/>
    <w:rsid w:val="59E11CD3"/>
    <w:rsid w:val="5A857BDE"/>
    <w:rsid w:val="5B2A4567"/>
    <w:rsid w:val="5BE202EA"/>
    <w:rsid w:val="5CAD7C22"/>
    <w:rsid w:val="5CE95B0C"/>
    <w:rsid w:val="5CFA7F1D"/>
    <w:rsid w:val="5D577E65"/>
    <w:rsid w:val="5D6F6B2F"/>
    <w:rsid w:val="5E2506F8"/>
    <w:rsid w:val="5E5E7F75"/>
    <w:rsid w:val="5EA316D6"/>
    <w:rsid w:val="5ECE1AC8"/>
    <w:rsid w:val="5EF556B7"/>
    <w:rsid w:val="5F3A07D2"/>
    <w:rsid w:val="5F593A88"/>
    <w:rsid w:val="5FE356D0"/>
    <w:rsid w:val="5FF901AE"/>
    <w:rsid w:val="60651EAC"/>
    <w:rsid w:val="60BB3927"/>
    <w:rsid w:val="6200749A"/>
    <w:rsid w:val="620F0B35"/>
    <w:rsid w:val="6240022D"/>
    <w:rsid w:val="62A42EE2"/>
    <w:rsid w:val="62F14F12"/>
    <w:rsid w:val="630D013F"/>
    <w:rsid w:val="63347FC4"/>
    <w:rsid w:val="63604CB9"/>
    <w:rsid w:val="64A36D0B"/>
    <w:rsid w:val="64C656C1"/>
    <w:rsid w:val="64F77166"/>
    <w:rsid w:val="65201386"/>
    <w:rsid w:val="657F4183"/>
    <w:rsid w:val="658466A7"/>
    <w:rsid w:val="6596487B"/>
    <w:rsid w:val="65DF63C9"/>
    <w:rsid w:val="662A7F2C"/>
    <w:rsid w:val="66627873"/>
    <w:rsid w:val="66D65FFA"/>
    <w:rsid w:val="67C24194"/>
    <w:rsid w:val="67EB36EB"/>
    <w:rsid w:val="68DA2DB6"/>
    <w:rsid w:val="69725134"/>
    <w:rsid w:val="6B4666B6"/>
    <w:rsid w:val="6BB306BC"/>
    <w:rsid w:val="6CC85DA9"/>
    <w:rsid w:val="6D2A5F93"/>
    <w:rsid w:val="6D8F2D6B"/>
    <w:rsid w:val="6DB91990"/>
    <w:rsid w:val="6DC31436"/>
    <w:rsid w:val="6E6F4E2B"/>
    <w:rsid w:val="6ECB49CF"/>
    <w:rsid w:val="6ECB5A2B"/>
    <w:rsid w:val="6F806E0F"/>
    <w:rsid w:val="70202A42"/>
    <w:rsid w:val="70ED3F4C"/>
    <w:rsid w:val="72227D09"/>
    <w:rsid w:val="728D01A7"/>
    <w:rsid w:val="72E476B5"/>
    <w:rsid w:val="72F22338"/>
    <w:rsid w:val="73327580"/>
    <w:rsid w:val="733572FD"/>
    <w:rsid w:val="73BE3A62"/>
    <w:rsid w:val="746C7E4B"/>
    <w:rsid w:val="750E6C6B"/>
    <w:rsid w:val="755E374E"/>
    <w:rsid w:val="75884CEA"/>
    <w:rsid w:val="75B310E7"/>
    <w:rsid w:val="75B318F4"/>
    <w:rsid w:val="761A4623"/>
    <w:rsid w:val="76377F56"/>
    <w:rsid w:val="764B35A7"/>
    <w:rsid w:val="769E6A57"/>
    <w:rsid w:val="77B238DE"/>
    <w:rsid w:val="78A4106B"/>
    <w:rsid w:val="79975481"/>
    <w:rsid w:val="79B4511D"/>
    <w:rsid w:val="79F60BE5"/>
    <w:rsid w:val="7A1B4027"/>
    <w:rsid w:val="7A965738"/>
    <w:rsid w:val="7ABC1C9C"/>
    <w:rsid w:val="7B022DCE"/>
    <w:rsid w:val="7B272834"/>
    <w:rsid w:val="7B8F71DF"/>
    <w:rsid w:val="7C1568F9"/>
    <w:rsid w:val="7CB2612E"/>
    <w:rsid w:val="7CC25607"/>
    <w:rsid w:val="7DE859ED"/>
    <w:rsid w:val="7DEFB005"/>
    <w:rsid w:val="7E4C610E"/>
    <w:rsid w:val="7ECA59B1"/>
    <w:rsid w:val="7F09108F"/>
    <w:rsid w:val="7FDC49A0"/>
    <w:rsid w:val="DF9761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31"/>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able of figures"/>
    <w:basedOn w:val="1"/>
    <w:next w:val="1"/>
    <w:qFormat/>
    <w:uiPriority w:val="0"/>
    <w:pPr>
      <w:ind w:left="200" w:leftChars="200" w:hanging="200" w:hangingChars="200"/>
    </w:pPr>
  </w:style>
  <w:style w:type="paragraph" w:styleId="17">
    <w:name w:val="toc 2"/>
    <w:basedOn w:val="1"/>
    <w:next w:val="1"/>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6">
    <w:name w:val="Header Char"/>
    <w:basedOn w:val="21"/>
    <w:semiHidden/>
    <w:qFormat/>
    <w:uiPriority w:val="99"/>
    <w:rPr>
      <w:rFonts w:ascii="Times New Roman" w:hAnsi="Times New Roman"/>
      <w:sz w:val="18"/>
      <w:szCs w:val="18"/>
    </w:rPr>
  </w:style>
  <w:style w:type="character" w:customStyle="1" w:styleId="27">
    <w:name w:val="页眉 字符"/>
    <w:link w:val="13"/>
    <w:semiHidden/>
    <w:qFormat/>
    <w:locked/>
    <w:uiPriority w:val="99"/>
    <w:rPr>
      <w:sz w:val="18"/>
    </w:rPr>
  </w:style>
  <w:style w:type="character" w:customStyle="1" w:styleId="28">
    <w:name w:val="Footer Char"/>
    <w:basedOn w:val="21"/>
    <w:semiHidden/>
    <w:qFormat/>
    <w:uiPriority w:val="99"/>
    <w:rPr>
      <w:rFonts w:ascii="Times New Roman" w:hAnsi="Times New Roman"/>
      <w:sz w:val="18"/>
      <w:szCs w:val="18"/>
    </w:rPr>
  </w:style>
  <w:style w:type="character" w:customStyle="1" w:styleId="29">
    <w:name w:val="页脚 字符"/>
    <w:link w:val="12"/>
    <w:qFormat/>
    <w:locked/>
    <w:uiPriority w:val="99"/>
    <w:rPr>
      <w:sz w:val="18"/>
    </w:rPr>
  </w:style>
  <w:style w:type="character" w:customStyle="1" w:styleId="30">
    <w:name w:val="Body Text Char"/>
    <w:basedOn w:val="21"/>
    <w:semiHidden/>
    <w:qFormat/>
    <w:uiPriority w:val="99"/>
    <w:rPr>
      <w:rFonts w:ascii="Times New Roman" w:hAnsi="Times New Roman"/>
      <w:szCs w:val="24"/>
    </w:rPr>
  </w:style>
  <w:style w:type="character" w:customStyle="1" w:styleId="31">
    <w:name w:val="正文文本 字符"/>
    <w:link w:val="7"/>
    <w:qFormat/>
    <w:locked/>
    <w:uiPriority w:val="99"/>
    <w:rPr>
      <w:rFonts w:ascii="仿宋_GB2312" w:hAnsi="Times New Roman" w:eastAsia="仿宋_GB2312"/>
      <w:sz w:val="24"/>
    </w:rPr>
  </w:style>
  <w:style w:type="paragraph" w:styleId="32">
    <w:name w:val="List Paragraph"/>
    <w:basedOn w:val="1"/>
    <w:qFormat/>
    <w:uiPriority w:val="34"/>
    <w:pPr>
      <w:ind w:firstLine="420" w:firstLineChars="200"/>
    </w:pPr>
  </w:style>
  <w:style w:type="character" w:customStyle="1" w:styleId="33">
    <w:name w:val="标题 1 字符"/>
    <w:basedOn w:val="21"/>
    <w:link w:val="2"/>
    <w:qFormat/>
    <w:uiPriority w:val="9"/>
    <w:rPr>
      <w:rFonts w:ascii="Times New Roman" w:hAnsi="Times New Roman"/>
      <w:b/>
      <w:bCs/>
      <w:kern w:val="44"/>
      <w:sz w:val="44"/>
      <w:szCs w:val="44"/>
    </w:rPr>
  </w:style>
  <w:style w:type="character" w:customStyle="1" w:styleId="34">
    <w:name w:val="标题 2 字符"/>
    <w:basedOn w:val="21"/>
    <w:link w:val="3"/>
    <w:qFormat/>
    <w:uiPriority w:val="9"/>
    <w:rPr>
      <w:rFonts w:asciiTheme="majorHAnsi" w:hAnsiTheme="majorHAnsi" w:eastAsiaTheme="majorEastAsia" w:cstheme="majorBidi"/>
      <w:b/>
      <w:bCs/>
      <w:kern w:val="2"/>
      <w:sz w:val="32"/>
      <w:szCs w:val="32"/>
    </w:r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1"/>
    <w:link w:val="11"/>
    <w:semiHidden/>
    <w:qFormat/>
    <w:uiPriority w:val="99"/>
    <w:rPr>
      <w:rFonts w:ascii="Times New Roman" w:hAnsi="Times New Roman"/>
      <w:kern w:val="2"/>
      <w:sz w:val="18"/>
      <w:szCs w:val="18"/>
    </w:rPr>
  </w:style>
  <w:style w:type="character" w:customStyle="1" w:styleId="37">
    <w:name w:val="标题 3 字符"/>
    <w:basedOn w:val="21"/>
    <w:link w:val="4"/>
    <w:qFormat/>
    <w:uiPriority w:val="9"/>
    <w:rPr>
      <w:rFonts w:ascii="Times New Roman" w:hAnsi="Times New Roman"/>
      <w:b/>
      <w:bCs/>
      <w:kern w:val="2"/>
      <w:sz w:val="32"/>
      <w:szCs w:val="32"/>
    </w:rPr>
  </w:style>
  <w:style w:type="character" w:customStyle="1" w:styleId="38">
    <w:name w:val="标题 1 Char"/>
    <w:basedOn w:val="21"/>
    <w:link w:val="2"/>
    <w:qFormat/>
    <w:uiPriority w:val="9"/>
    <w:rPr>
      <w:b/>
      <w:bCs/>
      <w:kern w:val="44"/>
      <w:sz w:val="44"/>
      <w:szCs w:val="44"/>
    </w:rPr>
  </w:style>
  <w:style w:type="paragraph" w:customStyle="1" w:styleId="3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false"/>
    </c:title>
    <c:autoTitleDeleted val="false"/>
    <c:plotArea>
      <c:layout>
        <c:manualLayout>
          <c:layoutTarget val="inner"/>
          <c:xMode val="edge"/>
          <c:yMode val="edge"/>
          <c:x val="0.0559816218099468"/>
          <c:y val="0.247865112907836"/>
          <c:w val="0.800713012477719"/>
          <c:h val="0.654027777777778"/>
        </c:manualLayout>
      </c:layout>
      <c:barChart>
        <c:barDir val="col"/>
        <c:grouping val="clustered"/>
        <c:varyColors val="false"/>
        <c:ser>
          <c:idx val="1"/>
          <c:order val="0"/>
          <c:tx>
            <c:strRef>
              <c:f>收支总计</c:f>
              <c:strCache>
                <c:ptCount val="1"/>
                <c:pt idx="0">
                  <c:v>收支总计</c:v>
                </c:pt>
              </c:strCache>
            </c:strRef>
          </c:tx>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{"2022","2023"}</c:f>
              <c:numCache>
                <c:formatCode>General</c:formatCode>
                <c:ptCount val="2"/>
                <c:pt idx="0">
                  <c:v>2022</c:v>
                </c:pt>
                <c:pt idx="1">
                  <c:v>2023</c:v>
                </c:pt>
              </c:numCache>
            </c:numRef>
          </c:cat>
          <c:val>
            <c:numRef>
              <c:f>{417.61,471.04}</c:f>
              <c:numCache>
                <c:formatCode>General</c:formatCode>
                <c:ptCount val="2"/>
                <c:pt idx="0">
                  <c:v>417.61</c:v>
                </c:pt>
                <c:pt idx="1">
                  <c:v>471.04</c:v>
                </c:pt>
              </c:numCache>
            </c:numRef>
          </c:val>
        </c:ser>
        <c:dLbls>
          <c:showLegendKey val="false"/>
          <c:showVal val="true"/>
          <c:showCatName val="false"/>
          <c:showSerName val="false"/>
          <c:showPercent val="false"/>
          <c:showBubbleSize val="false"/>
        </c:dLbls>
        <c:gapWidth val="41"/>
        <c:axId val="261387392"/>
        <c:axId val="261388928"/>
      </c:barChart>
      <c:catAx>
        <c:axId val="261387392"/>
        <c:scaling>
          <c:orientation val="minMax"/>
        </c:scaling>
        <c:delete val="false"/>
        <c:axPos val="b"/>
        <c:title>
          <c:tx>
            <c:rich>
              <a:bodyPr rot="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false"/>
        </c:title>
        <c:numFmt formatCode="General" sourceLinked="fals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true"/>
        <c:lblAlgn val="ctr"/>
        <c:lblOffset val="100"/>
        <c:noMultiLvlLbl val="false"/>
      </c:catAx>
      <c:valAx>
        <c:axId val="261388928"/>
        <c:scaling>
          <c:orientation val="minMax"/>
        </c:scaling>
        <c:delete val="true"/>
        <c:axPos val="l"/>
        <c:title>
          <c:tx>
            <c:rich>
              <a:bodyPr rot="-540000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false"/>
        </c:title>
        <c:numFmt formatCode="General" sourceLinked="true"/>
        <c:majorTickMark val="none"/>
        <c:minorTickMark val="none"/>
        <c:tickLblPos val="none"/>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legend>
    <c:plotVisOnly val="true"/>
    <c:dispBlanksAs val="gap"/>
    <c:showDLblsOverMax val="false"/>
  </c:chart>
  <c:spPr>
    <a:gradFill flip="none" rotWithShape="true">
      <a:gsLst>
        <a:gs pos="0">
          <a:schemeClr val="lt1"/>
        </a:gs>
        <a:gs pos="68000">
          <a:schemeClr val="lt1">
            <a:lumMod val="85000"/>
          </a:schemeClr>
        </a:gs>
        <a:gs pos="100000">
          <a:schemeClr val="lt1"/>
        </a:gs>
      </a:gsLst>
      <a:lin ang="5400000" scaled="true"/>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false"/>
    </c:title>
    <c:autoTitleDeleted val="false"/>
    <c:plotArea>
      <c:layout/>
      <c:pieChart>
        <c:varyColors val="true"/>
        <c:ser>
          <c:idx val="1"/>
          <c:order val="0"/>
          <c:explosion val="0"/>
          <c:dPt>
            <c:idx val="0"/>
            <c:bubble3D val="false"/>
          </c:dPt>
          <c:dPt>
            <c:idx val="1"/>
            <c:bubble3D val="false"/>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{"一般公共预算财政拨款收入","政府性基金预算财政拨款收入"}</c:f>
              <c:strCache>
                <c:ptCount val="2"/>
                <c:pt idx="0">
                  <c:v>一般公共预算财政拨款收入</c:v>
                </c:pt>
                <c:pt idx="1">
                  <c:v>政府性基金预算财政拨款收入</c:v>
                </c:pt>
              </c:strCache>
            </c:strRef>
          </c:cat>
          <c:val>
            <c:numRef>
              <c:f>{352.69,118.35}</c:f>
              <c:numCache>
                <c:formatCode>General</c:formatCode>
                <c:ptCount val="2"/>
                <c:pt idx="0">
                  <c:v>352.69</c:v>
                </c:pt>
                <c:pt idx="1">
                  <c:v>118.35</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zero"/>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false"/>
    </c:title>
    <c:autoTitleDeleted val="false"/>
    <c:plotArea>
      <c:layout/>
      <c:pieChart>
        <c:varyColors val="true"/>
        <c:ser>
          <c:idx val="1"/>
          <c:order val="0"/>
          <c:explosion val="0"/>
          <c:dPt>
            <c:idx val="0"/>
            <c:bubble3D val="false"/>
          </c:dPt>
          <c:dPt>
            <c:idx val="1"/>
            <c:bubble3D val="false"/>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{"基本支出","项目支出"}</c:f>
              <c:strCache>
                <c:ptCount val="2"/>
                <c:pt idx="0">
                  <c:v>基本支出</c:v>
                </c:pt>
                <c:pt idx="1">
                  <c:v>项目支出</c:v>
                </c:pt>
              </c:strCache>
            </c:strRef>
          </c:cat>
          <c:val>
            <c:numRef>
              <c:f>{326.49,144.55}</c:f>
              <c:numCache>
                <c:formatCode>General</c:formatCode>
                <c:ptCount val="2"/>
                <c:pt idx="0">
                  <c:v>326.49</c:v>
                </c:pt>
                <c:pt idx="1">
                  <c:v>144.55</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zero"/>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false"/>
      <c:spPr>
        <a:noFill/>
        <a:ln>
          <a:noFill/>
        </a:ln>
        <a:effectLst/>
      </c:spPr>
    </c:title>
    <c:autoTitleDeleted val="false"/>
    <c:plotArea>
      <c:layout/>
      <c:barChart>
        <c:barDir val="col"/>
        <c:grouping val="clustered"/>
        <c:varyColors val="false"/>
        <c:ser>
          <c:idx val="1"/>
          <c:order val="0"/>
          <c:tx>
            <c:strRef>
              <c:f>收支总计</c:f>
              <c:strCache>
                <c:ptCount val="1"/>
                <c:pt idx="0">
                  <c:v>收支总计</c:v>
                </c:pt>
              </c:strCache>
            </c:strRef>
          </c:tx>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{"2022","2023"}</c:f>
              <c:numCache>
                <c:formatCode>General</c:formatCode>
                <c:ptCount val="2"/>
                <c:pt idx="0">
                  <c:v>2022</c:v>
                </c:pt>
                <c:pt idx="1">
                  <c:v>2023</c:v>
                </c:pt>
              </c:numCache>
            </c:numRef>
          </c:cat>
          <c:val>
            <c:numRef>
              <c:f>{417.61,471.04}</c:f>
              <c:numCache>
                <c:formatCode>General</c:formatCode>
                <c:ptCount val="2"/>
                <c:pt idx="0">
                  <c:v>417.61</c:v>
                </c:pt>
                <c:pt idx="1">
                  <c:v>471.04</c:v>
                </c:pt>
              </c:numCache>
            </c:numRef>
          </c:val>
        </c:ser>
        <c:dLbls>
          <c:showLegendKey val="false"/>
          <c:showVal val="true"/>
          <c:showCatName val="false"/>
          <c:showSerName val="false"/>
          <c:showPercent val="false"/>
          <c:showBubbleSize val="false"/>
        </c:dLbls>
        <c:gapWidth val="100"/>
        <c:overlap val="-24"/>
        <c:axId val="263359104"/>
        <c:axId val="263373184"/>
      </c:barChart>
      <c:catAx>
        <c:axId val="263359104"/>
        <c:scaling>
          <c:orientation val="minMax"/>
        </c:scaling>
        <c:delete val="false"/>
        <c:axPos val="b"/>
        <c:title>
          <c:tx>
            <c:rich>
              <a:bodyPr rot="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false"/>
        </c:title>
        <c:numFmt formatCode="General" sourceLinked="false"/>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true"/>
          <a:lstStyle/>
          <a:p>
            <a:pPr>
              <a:defRPr lang="zh-CN" sz="900" b="0" i="0" u="none" strike="noStrike" kern="1200" baseline="0">
                <a:solidFill>
                  <a:schemeClr val="tx2"/>
                </a:solidFill>
                <a:latin typeface="+mn-lt"/>
                <a:ea typeface="+mn-ea"/>
                <a:cs typeface="+mn-cs"/>
              </a:defRPr>
            </a:pPr>
          </a:p>
        </c:txPr>
        <c:crossAx val="263373184"/>
        <c:crosses val="autoZero"/>
        <c:auto val="true"/>
        <c:lblAlgn val="ctr"/>
        <c:lblOffset val="100"/>
        <c:noMultiLvlLbl val="false"/>
      </c:catAx>
      <c:valAx>
        <c:axId val="263373184"/>
        <c:scaling>
          <c:orientation val="minMax"/>
        </c:scaling>
        <c:delete val="false"/>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false"/>
        </c:title>
        <c:numFmt formatCode="General"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2"/>
              </a:solidFill>
              <a:latin typeface="+mn-lt"/>
              <a:ea typeface="+mn-ea"/>
              <a:cs typeface="+mn-cs"/>
            </a:defRPr>
          </a:pPr>
        </a:p>
      </c:txPr>
    </c:legend>
    <c:plotVisOnly val="true"/>
    <c:dispBlanksAs val="gap"/>
    <c:showDLblsOverMax val="false"/>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false"/>
      <c:spPr>
        <a:noFill/>
        <a:ln>
          <a:noFill/>
        </a:ln>
        <a:effectLst/>
      </c:spPr>
    </c:title>
    <c:autoTitleDeleted val="false"/>
    <c:plotArea>
      <c:layout>
        <c:manualLayout>
          <c:layoutTarget val="inner"/>
          <c:xMode val="edge"/>
          <c:yMode val="edge"/>
          <c:x val="0.0736333103993069"/>
          <c:y val="0.199582873033408"/>
          <c:w val="0.767623678108199"/>
          <c:h val="0.708506514060342"/>
        </c:manualLayout>
      </c:layout>
      <c:barChart>
        <c:barDir val="col"/>
        <c:grouping val="clustered"/>
        <c:varyColors val="false"/>
        <c:ser>
          <c:idx val="1"/>
          <c:order val="0"/>
          <c:tx>
            <c:strRef>
              <c:f>2022</c:f>
              <c:strCache>
                <c:ptCount val="1"/>
                <c:pt idx="0">
                  <c:v>2022</c:v>
                </c:pt>
              </c:strCache>
            </c:strRef>
          </c:tx>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{"一般公共预算财政拨款支出"}</c:f>
              <c:strCache>
                <c:ptCount val="1"/>
                <c:pt idx="0">
                  <c:v>一般公共预算财政拨款支出</c:v>
                </c:pt>
              </c:strCache>
            </c:strRef>
          </c:cat>
          <c:val>
            <c:numRef>
              <c:f>{367.63}</c:f>
              <c:numCache>
                <c:formatCode>General</c:formatCode>
                <c:ptCount val="1"/>
                <c:pt idx="0">
                  <c:v>367.63</c:v>
                </c:pt>
              </c:numCache>
            </c:numRef>
          </c:val>
        </c:ser>
        <c:ser>
          <c:idx val="2"/>
          <c:order val="1"/>
          <c:tx>
            <c:strRef>
              <c:f>2023</c:f>
              <c:strCache>
                <c:ptCount val="1"/>
                <c:pt idx="0">
                  <c:v>2023</c:v>
                </c:pt>
              </c:strCache>
            </c:strRef>
          </c:tx>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{"一般公共预算财政拨款支出"}</c:f>
              <c:strCache>
                <c:ptCount val="1"/>
                <c:pt idx="0">
                  <c:v>一般公共预算财政拨款支出</c:v>
                </c:pt>
              </c:strCache>
            </c:strRef>
          </c:cat>
          <c:val>
            <c:numRef>
              <c:f>{352.69}</c:f>
              <c:numCache>
                <c:formatCode>General</c:formatCode>
                <c:ptCount val="1"/>
                <c:pt idx="0">
                  <c:v>352.69</c:v>
                </c:pt>
              </c:numCache>
            </c:numRef>
          </c:val>
        </c:ser>
        <c:dLbls>
          <c:showLegendKey val="false"/>
          <c:showVal val="true"/>
          <c:showCatName val="false"/>
          <c:showSerName val="false"/>
          <c:showPercent val="false"/>
          <c:showBubbleSize val="false"/>
        </c:dLbls>
        <c:gapWidth val="100"/>
        <c:overlap val="-24"/>
        <c:axId val="263440640"/>
        <c:axId val="263135232"/>
      </c:barChart>
      <c:catAx>
        <c:axId val="263440640"/>
        <c:scaling>
          <c:orientation val="minMax"/>
        </c:scaling>
        <c:delete val="true"/>
        <c:axPos val="b"/>
        <c:title>
          <c:tx>
            <c:rich>
              <a:bodyPr rot="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false"/>
        </c:title>
        <c:numFmt formatCode="General" sourceLinked="false"/>
        <c:majorTickMark val="none"/>
        <c:minorTickMark val="none"/>
        <c:tickLblPos val="none"/>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63135232"/>
        <c:crosses val="autoZero"/>
        <c:auto val="true"/>
        <c:lblAlgn val="ctr"/>
        <c:lblOffset val="100"/>
        <c:noMultiLvlLbl val="false"/>
      </c:catAx>
      <c:valAx>
        <c:axId val="263135232"/>
        <c:scaling>
          <c:orientation val="minMax"/>
        </c:scaling>
        <c:delete val="false"/>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false"/>
        </c:title>
        <c:numFmt formatCode="General"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false"/>
    </c:title>
    <c:autoTitleDeleted val="false"/>
    <c:plotArea>
      <c:layout/>
      <c:pieChart>
        <c:varyColors val="true"/>
        <c:ser>
          <c:idx val="1"/>
          <c:order val="0"/>
          <c:explosion val="0"/>
          <c:dPt>
            <c:idx val="0"/>
            <c:bubble3D val="false"/>
          </c:dPt>
          <c:dPt>
            <c:idx val="1"/>
            <c:bubble3D val="false"/>
          </c:dPt>
          <c:dPt>
            <c:idx val="2"/>
            <c:bubble3D val="false"/>
          </c:dPt>
          <c:dPt>
            <c:idx val="3"/>
            <c:bubble3D val="false"/>
          </c:dPt>
          <c:dPt>
            <c:idx val="4"/>
            <c:bubble3D val="false"/>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{"一般公共服务支出","社会保障和就业支出","卫生健康支出","农林水支出","住房保障支出"}</c:f>
              <c:strCache>
                <c:ptCount val="5"/>
                <c:pt idx="0">
                  <c:v>一般公共服务支出</c:v>
                </c:pt>
                <c:pt idx="1">
                  <c:v>社会保障和就业支出</c:v>
                </c:pt>
                <c:pt idx="2">
                  <c:v>卫生健康支出</c:v>
                </c:pt>
                <c:pt idx="3">
                  <c:v>农林水支出</c:v>
                </c:pt>
                <c:pt idx="4">
                  <c:v>住房保障支出</c:v>
                </c:pt>
              </c:strCache>
            </c:strRef>
          </c:cat>
          <c:val>
            <c:numRef>
              <c:f>{273.25,43.35,11.72,1.94,22.43}</c:f>
              <c:numCache>
                <c:formatCode>General</c:formatCode>
                <c:ptCount val="5"/>
                <c:pt idx="0">
                  <c:v>273.25</c:v>
                </c:pt>
                <c:pt idx="1">
                  <c:v>43.35</c:v>
                </c:pt>
                <c:pt idx="2">
                  <c:v>11.72</c:v>
                </c:pt>
                <c:pt idx="3">
                  <c:v>1.94</c:v>
                </c:pt>
                <c:pt idx="4">
                  <c:v>22.43</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false"/>
    </c:title>
    <c:autoTitleDeleted val="false"/>
    <c:plotArea>
      <c:layout/>
      <c:pieChart>
        <c:varyColors val="true"/>
        <c:ser>
          <c:idx val="1"/>
          <c:order val="0"/>
          <c:explosion val="0"/>
          <c:dPt>
            <c:idx val="0"/>
            <c:bubble3D val="false"/>
          </c:dPt>
          <c:dPt>
            <c:idx val="1"/>
            <c:bubble3D val="false"/>
          </c:dPt>
          <c:dPt>
            <c:idx val="2"/>
            <c:bubble3D val="false"/>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{0,0,0.5}</c:f>
              <c:numCache>
                <c:formatCode>General</c:formatCode>
                <c:ptCount val="3"/>
                <c:pt idx="0">
                  <c:v>0</c:v>
                </c:pt>
                <c:pt idx="1">
                  <c:v>0</c:v>
                </c:pt>
                <c:pt idx="2">
                  <c:v>0.5</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48</Pages>
  <Words>4921</Words>
  <Characters>5549</Characters>
  <Lines>48</Lines>
  <Paragraphs>13</Paragraphs>
  <TotalTime>42</TotalTime>
  <ScaleCrop>false</ScaleCrop>
  <LinksUpToDate>false</LinksUpToDate>
  <CharactersWithSpaces>5688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2023-08-18T15:28:00Z</dcterms:created>
  <dc:creator>pjf</dc:creator>
  <cp:lastModifiedBy>kylin</cp:lastModifiedBy>
  <cp:lastPrinted>2021-09-26T16:39:00Z</cp:lastPrinted>
  <dcterms:modified xsi:type="dcterms:W3CDTF">2024-10-25T18:05:07Z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1299D18951BE410493814C5A7EEFB11E_13</vt:lpwstr>
  </property>
</Properties>
</file>