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D54BE">
      <w:pPr>
        <w:pStyle w:val="21"/>
        <w:keepNext w:val="0"/>
        <w:keepLines w:val="0"/>
        <w:widowControl/>
        <w:suppressLineNumbers w:val="0"/>
        <w:spacing w:before="0" w:beforeAutospacing="1" w:after="0" w:afterAutospacing="1"/>
        <w:ind w:left="0" w:right="0"/>
        <w:jc w:val="center"/>
      </w:pPr>
      <w:r>
        <w:rPr>
          <w:rFonts w:ascii="黑体" w:hAnsi="宋体" w:eastAsia="黑体" w:cs="黑体"/>
          <w:b w:val="0"/>
          <w:bCs w:val="0"/>
          <w:color w:val="000000"/>
          <w:sz w:val="44"/>
          <w:szCs w:val="44"/>
          <w:lang w:val="ar" w:eastAsia="zh-CN"/>
        </w:rPr>
        <w:t>2024</w:t>
      </w:r>
      <w:r>
        <w:rPr>
          <w:rFonts w:hint="eastAsia" w:ascii="黑体" w:hAnsi="宋体" w:eastAsia="黑体" w:cs="黑体"/>
          <w:color w:val="000000"/>
          <w:sz w:val="44"/>
          <w:szCs w:val="44"/>
          <w:lang w:val="ar" w:eastAsia="zh-CN"/>
        </w:rPr>
        <w:t>年度</w:t>
      </w:r>
    </w:p>
    <w:p w14:paraId="770033BD">
      <w:pPr>
        <w:pStyle w:val="21"/>
        <w:keepNext w:val="0"/>
        <w:keepLines w:val="0"/>
        <w:widowControl/>
        <w:suppressLineNumbers w:val="0"/>
        <w:spacing w:before="0" w:beforeAutospacing="1" w:after="0" w:afterAutospacing="1"/>
        <w:ind w:left="0" w:right="0"/>
        <w:jc w:val="center"/>
      </w:pPr>
      <w:r>
        <w:rPr>
          <w:rFonts w:hint="eastAsia" w:ascii="黑体" w:hAnsi="宋体" w:eastAsia="黑体" w:cs="黑体"/>
          <w:b w:val="0"/>
          <w:bCs w:val="0"/>
          <w:color w:val="000000"/>
          <w:sz w:val="44"/>
          <w:szCs w:val="44"/>
          <w:lang w:val="ar" w:eastAsia="zh-CN"/>
        </w:rPr>
        <w:t>武胜县信访局</w:t>
      </w:r>
      <w:r>
        <w:rPr>
          <w:rFonts w:hint="eastAsia" w:ascii="黑体" w:hAnsi="宋体" w:eastAsia="黑体" w:cs="黑体"/>
          <w:color w:val="000000"/>
          <w:sz w:val="44"/>
          <w:szCs w:val="44"/>
          <w:lang w:val="ar" w:eastAsia="zh-CN"/>
        </w:rPr>
        <w:t>单位决算</w:t>
      </w:r>
    </w:p>
    <w:p w14:paraId="2F9AAD81">
      <w:pPr>
        <w:pStyle w:val="21"/>
        <w:keepNext w:val="0"/>
        <w:keepLines w:val="0"/>
        <w:widowControl/>
        <w:suppressLineNumbers w:val="0"/>
        <w:spacing w:before="0" w:beforeAutospacing="1" w:after="0" w:afterAutospacing="1"/>
        <w:ind w:left="0" w:right="0"/>
      </w:pPr>
      <w:r>
        <w:rPr>
          <w:rFonts w:ascii="思源黑体 CN Normal" w:hAnsi="思源黑体 CN Normal" w:eastAsia="思源黑体 CN Normal" w:cs="思源黑体 CN Normal"/>
          <w:color w:val="000000"/>
          <w:sz w:val="21"/>
          <w:szCs w:val="21"/>
          <w:lang w:val="ar" w:eastAsia="zh-CN"/>
        </w:rPr>
        <w:t>  </w:t>
      </w:r>
    </w:p>
    <w:p w14:paraId="062B787C">
      <w:pPr>
        <w:keepNext w:val="0"/>
        <w:keepLines w:val="0"/>
        <w:widowControl/>
        <w:suppressLineNumbers w:val="0"/>
        <w:jc w:val="left"/>
      </w:pPr>
    </w:p>
    <w:p w14:paraId="1F390528">
      <w:pPr>
        <w:pStyle w:val="21"/>
        <w:keepNext w:val="0"/>
        <w:keepLines w:val="0"/>
        <w:widowControl/>
        <w:suppressLineNumbers w:val="0"/>
        <w:spacing w:before="0" w:beforeAutospacing="1" w:after="0" w:afterAutospacing="1"/>
        <w:ind w:left="0" w:right="0"/>
        <w:jc w:val="center"/>
      </w:pPr>
      <w:r>
        <w:rPr>
          <w:rFonts w:hint="default" w:ascii="思源黑体 CN Normal" w:hAnsi="思源黑体 CN Normal" w:eastAsia="思源黑体 CN Normal" w:cs="思源黑体 CN Normal"/>
          <w:b w:val="0"/>
          <w:bCs w:val="0"/>
          <w:color w:val="000000"/>
          <w:sz w:val="48"/>
          <w:szCs w:val="48"/>
          <w:lang w:val="ar" w:eastAsia="zh-CN"/>
        </w:rPr>
        <w:t>目录</w:t>
      </w:r>
    </w:p>
    <w:p w14:paraId="54AD7E5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ascii="仿宋" w:hAnsi="仿宋" w:eastAsia="仿宋" w:cs="Times New Roman"/>
          <w:sz w:val="28"/>
          <w:szCs w:val="28"/>
          <w:lang w:val="ar" w:eastAsia="zh-CN"/>
        </w:rPr>
      </w:pPr>
      <w:r>
        <w:rPr>
          <w:rFonts w:hint="eastAsia" w:ascii="仿宋" w:hAnsi="仿宋" w:eastAsia="仿宋" w:cs="Times New Roman"/>
          <w:color w:val="000000"/>
          <w:sz w:val="28"/>
          <w:szCs w:val="28"/>
          <w:lang w:val="ar" w:eastAsia="zh-CN"/>
        </w:rPr>
        <w:t>公开时间：2025年9月19日</w:t>
      </w:r>
    </w:p>
    <w:p w14:paraId="46BD94E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lang w:val="ar" w:eastAsia="zh-CN"/>
        </w:rPr>
      </w:pPr>
      <w:r>
        <w:rPr>
          <w:rFonts w:hint="eastAsia" w:ascii="黑体" w:hAnsi="宋体" w:eastAsia="黑体" w:cs="黑体"/>
          <w:color w:val="000000"/>
          <w:sz w:val="32"/>
          <w:szCs w:val="32"/>
          <w:lang w:val="ar" w:eastAsia="zh-CN"/>
        </w:rPr>
        <w:t>第一部分 单位概况</w:t>
      </w:r>
      <w:r>
        <w:rPr>
          <w:rFonts w:hint="eastAsia" w:ascii="仿宋" w:hAnsi="仿宋" w:eastAsia="仿宋" w:cs="Times New Roman"/>
          <w:sz w:val="28"/>
          <w:szCs w:val="28"/>
          <w:lang w:val="ar" w:eastAsia="zh-CN"/>
        </w:rPr>
        <w:t>  </w:t>
      </w:r>
    </w:p>
    <w:p w14:paraId="39B1A997">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一、主要职责  </w:t>
      </w:r>
    </w:p>
    <w:p w14:paraId="1499106E">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二、机构设置  </w:t>
      </w:r>
    </w:p>
    <w:p w14:paraId="26ED083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lang w:val="ar" w:eastAsia="zh-CN"/>
        </w:rPr>
      </w:pPr>
      <w:r>
        <w:rPr>
          <w:rFonts w:hint="eastAsia" w:ascii="黑体" w:hAnsi="宋体" w:eastAsia="黑体" w:cs="黑体"/>
          <w:color w:val="000000"/>
          <w:sz w:val="32"/>
          <w:szCs w:val="32"/>
          <w:lang w:val="ar" w:eastAsia="zh-CN"/>
        </w:rPr>
        <w:t>第二部分 2024年度单位决算情况说明</w:t>
      </w:r>
      <w:r>
        <w:rPr>
          <w:rFonts w:hint="eastAsia" w:ascii="仿宋" w:hAnsi="仿宋" w:eastAsia="仿宋" w:cs="Times New Roman"/>
          <w:sz w:val="28"/>
          <w:szCs w:val="28"/>
          <w:lang w:val="ar" w:eastAsia="zh-CN"/>
        </w:rPr>
        <w:t>  </w:t>
      </w:r>
    </w:p>
    <w:p w14:paraId="20929D3A">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一、收入支出决算总体情况说明  </w:t>
      </w:r>
    </w:p>
    <w:p w14:paraId="1528571B">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二、收入决算情况说明  </w:t>
      </w:r>
    </w:p>
    <w:p w14:paraId="02AFB053">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三、支出决算情况说明  </w:t>
      </w:r>
    </w:p>
    <w:p w14:paraId="68BCCED0">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四、财政拨款收入支出决算总体情况说明  </w:t>
      </w:r>
    </w:p>
    <w:p w14:paraId="7FF33CE4">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五、一般公共预算财政拨款支出决算情况说明  </w:t>
      </w:r>
    </w:p>
    <w:p w14:paraId="4D8DA716">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六、一般公共预算财政拨款基本支出决算情况说明  </w:t>
      </w:r>
    </w:p>
    <w:p w14:paraId="638AB6D1">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七、“三公”经费财政拨款支出决算情况说明  </w:t>
      </w:r>
    </w:p>
    <w:p w14:paraId="561E1B1C">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八、政府性基金预算支出决算情况说明  </w:t>
      </w:r>
    </w:p>
    <w:p w14:paraId="759F078C">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九、国有资本经营预算支出决算情况说明  </w:t>
      </w:r>
    </w:p>
    <w:p w14:paraId="65D7ADF3">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十、其他重要事项的情况说明  </w:t>
      </w:r>
    </w:p>
    <w:p w14:paraId="508E686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lang w:val="ar" w:eastAsia="zh-CN"/>
        </w:rPr>
      </w:pPr>
      <w:r>
        <w:rPr>
          <w:rFonts w:hint="eastAsia" w:ascii="黑体" w:hAnsi="宋体" w:eastAsia="黑体" w:cs="黑体"/>
          <w:color w:val="000000"/>
          <w:sz w:val="32"/>
          <w:szCs w:val="32"/>
          <w:lang w:val="ar" w:eastAsia="zh-CN"/>
        </w:rPr>
        <w:t>第三部分 名词解释  </w:t>
      </w:r>
    </w:p>
    <w:p w14:paraId="54F9D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lang w:val="ar" w:eastAsia="zh-CN"/>
        </w:rPr>
      </w:pPr>
      <w:r>
        <w:rPr>
          <w:rFonts w:hint="eastAsia" w:ascii="黑体" w:hAnsi="宋体" w:eastAsia="黑体" w:cs="黑体"/>
          <w:color w:val="000000"/>
          <w:sz w:val="32"/>
          <w:szCs w:val="32"/>
          <w:lang w:val="ar" w:eastAsia="zh-CN"/>
        </w:rPr>
        <w:t>第四部分 附件  </w:t>
      </w:r>
    </w:p>
    <w:p w14:paraId="4D38EC3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lang w:val="ar" w:eastAsia="zh-CN"/>
        </w:rPr>
      </w:pPr>
      <w:r>
        <w:rPr>
          <w:rFonts w:hint="eastAsia" w:ascii="黑体" w:hAnsi="宋体" w:eastAsia="黑体" w:cs="黑体"/>
          <w:color w:val="000000"/>
          <w:sz w:val="32"/>
          <w:szCs w:val="32"/>
          <w:lang w:val="ar" w:eastAsia="zh-CN"/>
        </w:rPr>
        <w:t>第五部分 附表  </w:t>
      </w:r>
    </w:p>
    <w:p w14:paraId="1E705DD3">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一、收入支出决算总表  </w:t>
      </w:r>
    </w:p>
    <w:p w14:paraId="63F223E7">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二、收入决算表  </w:t>
      </w:r>
    </w:p>
    <w:p w14:paraId="336408B3">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三、支出决算表  </w:t>
      </w:r>
    </w:p>
    <w:p w14:paraId="42C6DBBA">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四、财政拨款收入支出决算总表  </w:t>
      </w:r>
    </w:p>
    <w:p w14:paraId="1458F2FF">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五、财政拨款支出决算明细表  </w:t>
      </w:r>
    </w:p>
    <w:p w14:paraId="6DF41C1F">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六、一般公共预算财政拨款支出决算表  </w:t>
      </w:r>
    </w:p>
    <w:p w14:paraId="27F08D78">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七、一般公共预算财政拨款支出决算明细表  </w:t>
      </w:r>
    </w:p>
    <w:p w14:paraId="11ABA73E">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八、一般公共预算财政拨款基本支出决算表  </w:t>
      </w:r>
    </w:p>
    <w:p w14:paraId="7C1E8C7D">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九、一般公共预算财政拨款项目支出决算表  </w:t>
      </w:r>
    </w:p>
    <w:p w14:paraId="0919B2B7">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十、政府性基金预算财政拨款收入支出决算表  </w:t>
      </w:r>
    </w:p>
    <w:p w14:paraId="22058490">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十一、国有资本经营预算财政拨款收入支出决算表  </w:t>
      </w:r>
    </w:p>
    <w:p w14:paraId="52F08E95">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十二、国有资本经营预算财政拨款支出决算表  </w:t>
      </w:r>
    </w:p>
    <w:p w14:paraId="2BF8CB6A">
      <w:pPr>
        <w:pStyle w:val="21"/>
        <w:keepNext w:val="0"/>
        <w:keepLines w:val="0"/>
        <w:widowControl/>
        <w:suppressLineNumbers w:val="0"/>
        <w:spacing w:before="0" w:beforeAutospacing="1" w:after="0" w:afterAutospacing="1" w:line="15" w:lineRule="atLeast"/>
        <w:ind w:left="0" w:right="0"/>
      </w:pPr>
      <w:r>
        <w:rPr>
          <w:rFonts w:hint="eastAsia" w:ascii="仿宋" w:hAnsi="仿宋" w:eastAsia="仿宋" w:cs="仿宋"/>
          <w:color w:val="000000"/>
          <w:sz w:val="32"/>
          <w:szCs w:val="32"/>
          <w:lang w:val="ar" w:eastAsia="zh-CN"/>
        </w:rPr>
        <w:t>十三、财政拨款“三公”经费支出决算表  </w:t>
      </w:r>
    </w:p>
    <w:p w14:paraId="5334C27E">
      <w:pPr>
        <w:pStyle w:val="21"/>
        <w:keepNext w:val="0"/>
        <w:keepLines w:val="0"/>
        <w:widowControl/>
        <w:suppressLineNumbers w:val="0"/>
        <w:spacing w:before="0" w:beforeAutospacing="1" w:after="0" w:afterAutospacing="1"/>
        <w:ind w:left="0" w:right="0"/>
        <w:jc w:val="center"/>
      </w:pPr>
      <w:r>
        <w:rPr>
          <w:rFonts w:hint="eastAsia" w:ascii="黑体" w:hAnsi="宋体" w:eastAsia="黑体" w:cs="黑体"/>
          <w:b w:val="0"/>
          <w:bCs w:val="0"/>
          <w:sz w:val="44"/>
          <w:szCs w:val="44"/>
          <w:lang w:val="ar" w:eastAsia="zh-CN"/>
        </w:rPr>
        <w:t>第一部分 单位概况</w:t>
      </w:r>
    </w:p>
    <w:p w14:paraId="13267CCE">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一、主要职责</w:t>
      </w:r>
    </w:p>
    <w:p w14:paraId="708C12B5">
      <w:pPr>
        <w:pStyle w:val="21"/>
        <w:keepNext w:val="0"/>
        <w:keepLines w:val="0"/>
        <w:widowControl/>
        <w:suppressLineNumbers w:val="0"/>
        <w:spacing w:before="0" w:beforeAutospacing="1" w:after="0" w:afterAutospacing="1"/>
        <w:ind w:left="0" w:right="0" w:firstLine="320"/>
      </w:pPr>
      <w:r>
        <w:rPr>
          <w:rFonts w:hint="eastAsia" w:ascii="仿宋" w:hAnsi="仿宋" w:eastAsia="仿宋" w:cs="仿宋"/>
          <w:color w:val="000000"/>
          <w:sz w:val="32"/>
          <w:szCs w:val="32"/>
          <w:lang w:val="ar" w:eastAsia="zh-CN"/>
        </w:rPr>
        <w:t>1.贯彻执行党和国家关于信访工作的方针、政策、法律、法规以及省委、省政府、市委、市政府和县委、县政府的决策部署；制定信访问题排查化解、风险评估等制度并组织实施，提出改进和加强信访工作的意见和建议，推动信访责任制的实施，负责本系统、本部门依法行政工作。</w:t>
      </w:r>
      <w:r>
        <w:br w:type="textWrapping"/>
      </w:r>
      <w:r>
        <w:rPr>
          <w:rFonts w:hint="eastAsia" w:ascii="仿宋" w:hAnsi="仿宋" w:eastAsia="仿宋" w:cs="仿宋"/>
          <w:color w:val="000000"/>
          <w:sz w:val="32"/>
          <w:szCs w:val="32"/>
          <w:lang w:val="ar" w:eastAsia="zh-CN"/>
        </w:rPr>
        <w:t>    2.负责向县委、县政府反映群众来信来电来访中提出的重要建议、意见和问题，综合研判信访信息，开展调查研究，提出制定修改完善有关法规政策的建议。</w:t>
      </w:r>
      <w:r>
        <w:br w:type="textWrapping"/>
      </w:r>
      <w:r>
        <w:rPr>
          <w:rFonts w:hint="eastAsia" w:ascii="仿宋" w:hAnsi="仿宋" w:eastAsia="仿宋" w:cs="仿宋"/>
          <w:color w:val="000000"/>
          <w:sz w:val="32"/>
          <w:szCs w:val="32"/>
          <w:lang w:val="ar" w:eastAsia="zh-CN"/>
        </w:rPr>
        <w:t>    3.综合协调、督促检查指导全县信访工作，总结推广各地各部门信访工作经验，统筹协调信访工作宣传和信息发布。</w:t>
      </w:r>
      <w:r>
        <w:br w:type="textWrapping"/>
      </w:r>
      <w:r>
        <w:rPr>
          <w:rFonts w:hint="eastAsia" w:ascii="仿宋" w:hAnsi="仿宋" w:eastAsia="仿宋" w:cs="仿宋"/>
          <w:color w:val="000000"/>
          <w:sz w:val="32"/>
          <w:szCs w:val="32"/>
          <w:lang w:val="ar" w:eastAsia="zh-CN"/>
        </w:rPr>
        <w:t>    4.负责处理县内外群众、境外人士、法人及其他组织通过信访渠道给县委、县政府及领导同志的来信、来电，接待群众来访。</w:t>
      </w:r>
      <w:r>
        <w:br w:type="textWrapping"/>
      </w:r>
      <w:r>
        <w:rPr>
          <w:rFonts w:hint="eastAsia" w:ascii="仿宋" w:hAnsi="仿宋" w:eastAsia="仿宋" w:cs="仿宋"/>
          <w:color w:val="000000"/>
          <w:sz w:val="32"/>
          <w:szCs w:val="32"/>
          <w:lang w:val="ar" w:eastAsia="zh-CN"/>
        </w:rPr>
        <w:t>    5.承担协调处理群众进京到省、到广安市委、市政府及武胜县委、县政府集体上访和非接待场所上访的责任；综合协调处理跨地区、跨部门的重要信访问题。</w:t>
      </w:r>
      <w:r>
        <w:br w:type="textWrapping"/>
      </w:r>
      <w:r>
        <w:rPr>
          <w:rFonts w:hint="eastAsia" w:ascii="仿宋" w:hAnsi="仿宋" w:eastAsia="仿宋" w:cs="仿宋"/>
          <w:color w:val="000000"/>
          <w:sz w:val="32"/>
          <w:szCs w:val="32"/>
          <w:lang w:val="ar" w:eastAsia="zh-CN"/>
        </w:rPr>
        <w:t>    6.负责落实党中央、国务院、省委、省政府、广安市委、广安市政府和武胜县委、武胜县政府领导同志批示交办信访事项，向县级各部门（单位）、各乡镇转办、交办信访事项，负责督促检查重要信访事项的处理和落实。</w:t>
      </w:r>
      <w:r>
        <w:br w:type="textWrapping"/>
      </w:r>
      <w:r>
        <w:rPr>
          <w:rFonts w:hint="eastAsia" w:ascii="仿宋" w:hAnsi="仿宋" w:eastAsia="仿宋" w:cs="仿宋"/>
          <w:color w:val="000000"/>
          <w:sz w:val="32"/>
          <w:szCs w:val="32"/>
          <w:lang w:val="ar" w:eastAsia="zh-CN"/>
        </w:rPr>
        <w:t>    7.建立和完善信访信息汇集分析机制，指导运用好信访信息系统。</w:t>
      </w:r>
      <w:r>
        <w:br w:type="textWrapping"/>
      </w:r>
      <w:r>
        <w:rPr>
          <w:rFonts w:hint="eastAsia" w:ascii="仿宋" w:hAnsi="仿宋" w:eastAsia="仿宋" w:cs="仿宋"/>
          <w:color w:val="000000"/>
          <w:sz w:val="32"/>
          <w:szCs w:val="32"/>
          <w:lang w:val="ar" w:eastAsia="zh-CN"/>
        </w:rPr>
        <w:t>    8.承担县信访工作联席会议、县政府信访事项复查复核委员会日常工作，督促落实有关事项。</w:t>
      </w:r>
      <w:r>
        <w:br w:type="textWrapping"/>
      </w:r>
      <w:r>
        <w:rPr>
          <w:rFonts w:hint="eastAsia" w:ascii="仿宋" w:hAnsi="仿宋" w:eastAsia="仿宋" w:cs="仿宋"/>
          <w:color w:val="000000"/>
          <w:sz w:val="32"/>
          <w:szCs w:val="32"/>
          <w:lang w:val="ar" w:eastAsia="zh-CN"/>
        </w:rPr>
        <w:t>    9.负责“共建共治共享”武胜服务平台和政府服务热线管理、县长信箱工作。</w:t>
      </w:r>
      <w:r>
        <w:br w:type="textWrapping"/>
      </w:r>
      <w:r>
        <w:rPr>
          <w:rFonts w:hint="eastAsia" w:ascii="仿宋" w:hAnsi="仿宋" w:eastAsia="仿宋" w:cs="仿宋"/>
          <w:color w:val="000000"/>
          <w:sz w:val="32"/>
          <w:szCs w:val="32"/>
          <w:lang w:val="ar" w:eastAsia="zh-CN"/>
        </w:rPr>
        <w:t>    10.负责职责范围内的安全生产和职业健康、生态环境保护、审批服务便民化工作。</w:t>
      </w:r>
      <w:r>
        <w:br w:type="textWrapping"/>
      </w:r>
      <w:r>
        <w:rPr>
          <w:rFonts w:hint="eastAsia" w:ascii="仿宋" w:hAnsi="仿宋" w:eastAsia="仿宋" w:cs="仿宋"/>
          <w:color w:val="000000"/>
          <w:sz w:val="32"/>
          <w:szCs w:val="32"/>
          <w:lang w:val="ar" w:eastAsia="zh-CN"/>
        </w:rPr>
        <w:t>    11.完成县委和县政府交办的其他任务。</w:t>
      </w:r>
    </w:p>
    <w:p w14:paraId="7019187A">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二、机构设置</w:t>
      </w:r>
    </w:p>
    <w:p w14:paraId="4901BAC7">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color w:val="000000"/>
          <w:sz w:val="32"/>
          <w:szCs w:val="32"/>
          <w:lang w:val="ar" w:eastAsia="zh-CN"/>
        </w:rPr>
        <w:t>武胜县信访局（简称县信访局）是县人民政府工作部门，为正科级，单位内设5个科室，主要包括：办公室、接访股（增挂群众来访接待中心牌子）、网络办信股、督查督办股、复查复核股。</w:t>
      </w:r>
    </w:p>
    <w:p w14:paraId="64179A9B">
      <w:pPr>
        <w:keepNext w:val="0"/>
        <w:keepLines w:val="0"/>
        <w:widowControl/>
        <w:suppressLineNumbers w:val="0"/>
        <w:jc w:val="left"/>
      </w:pPr>
    </w:p>
    <w:p w14:paraId="5256E599">
      <w:pPr>
        <w:pStyle w:val="21"/>
        <w:keepNext w:val="0"/>
        <w:keepLines w:val="0"/>
        <w:widowControl/>
        <w:suppressLineNumbers w:val="0"/>
        <w:spacing w:before="0" w:beforeAutospacing="1" w:after="0" w:afterAutospacing="1"/>
        <w:ind w:left="0" w:right="0"/>
        <w:jc w:val="center"/>
      </w:pPr>
      <w:r>
        <w:rPr>
          <w:rFonts w:hint="eastAsia" w:ascii="黑体" w:hAnsi="宋体" w:eastAsia="黑体" w:cs="黑体"/>
          <w:b w:val="0"/>
          <w:bCs w:val="0"/>
          <w:sz w:val="44"/>
          <w:szCs w:val="44"/>
          <w:lang w:val="ar" w:eastAsia="zh-CN"/>
        </w:rPr>
        <w:t xml:space="preserve">第二部分 </w:t>
      </w:r>
      <w:r>
        <w:rPr>
          <w:rFonts w:hint="eastAsia" w:ascii="黑体" w:hAnsi="宋体" w:eastAsia="黑体" w:cs="黑体"/>
          <w:b/>
          <w:bCs/>
          <w:sz w:val="44"/>
          <w:szCs w:val="44"/>
          <w:lang w:val="ar" w:eastAsia="zh-CN"/>
        </w:rPr>
        <w:t>2024年度</w:t>
      </w:r>
      <w:r>
        <w:rPr>
          <w:rFonts w:hint="eastAsia" w:ascii="黑体" w:hAnsi="宋体" w:eastAsia="黑体" w:cs="黑体"/>
          <w:b w:val="0"/>
          <w:bCs w:val="0"/>
          <w:sz w:val="44"/>
          <w:szCs w:val="44"/>
          <w:lang w:val="ar" w:eastAsia="zh-CN"/>
        </w:rPr>
        <w:t>单位决算情况说明</w:t>
      </w:r>
    </w:p>
    <w:p w14:paraId="456F7969">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一、收入支出决算总体情况说明</w:t>
      </w:r>
    </w:p>
    <w:p w14:paraId="35A4F405">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 xml:space="preserve">2024年度收入、支出总计均为427.63万元。与2023年度相比，收入、支出总计各减少43.41万元，下降9.2%。 </w:t>
      </w:r>
    </w:p>
    <w:p w14:paraId="42A486AC">
      <w:pPr>
        <w:pStyle w:val="21"/>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267BF96E">
      <w:pPr>
        <w:pStyle w:val="21"/>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仿宋"/>
          <w:color w:val="000000"/>
          <w:sz w:val="32"/>
          <w:szCs w:val="32"/>
          <w:lang w:val="ar" w:eastAsia="zh-CN"/>
        </w:rPr>
        <w:t>（图1：收、支决算总计变动情况图）</w:t>
      </w:r>
    </w:p>
    <w:p w14:paraId="1D9851EA">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二、收入决算情况说明</w:t>
      </w:r>
    </w:p>
    <w:p w14:paraId="5FECD3DC">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2024年度本年收入合计427.63万元，其中:一般公共预算财政拨款收入405.13万元，占94.7%；政府性基金预算财政拨款收入22.5万元，占5.3%。</w:t>
      </w:r>
    </w:p>
    <w:p w14:paraId="2382B926">
      <w:pPr>
        <w:pStyle w:val="21"/>
        <w:keepNext w:val="0"/>
        <w:keepLines w:val="0"/>
        <w:widowControl/>
        <w:suppressLineNumbers w:val="0"/>
        <w:spacing w:before="0" w:beforeAutospacing="1" w:after="0" w:afterAutospacing="1"/>
        <w:ind w:left="0" w:right="0"/>
        <w:jc w:val="center"/>
      </w:pPr>
      <w:r>
        <w:drawing>
          <wp:inline distT="0" distB="0" distL="114300" distR="114300">
            <wp:extent cx="304800" cy="304800"/>
            <wp:effectExtent l="0" t="0" r="0" b="0"/>
            <wp:docPr id="1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7"/>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14CA87A1">
      <w:pPr>
        <w:pStyle w:val="21"/>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仿宋"/>
          <w:color w:val="000000"/>
          <w:sz w:val="32"/>
          <w:szCs w:val="32"/>
          <w:lang w:val="ar" w:eastAsia="zh-CN"/>
        </w:rPr>
        <w:t>（图2：收入决算结构图）</w:t>
      </w:r>
    </w:p>
    <w:p w14:paraId="6CEE2D57">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三、支出决算情况说明</w:t>
      </w:r>
    </w:p>
    <w:p w14:paraId="0C4CA6BA">
      <w:pPr>
        <w:pStyle w:val="21"/>
        <w:keepNext w:val="0"/>
        <w:keepLines w:val="0"/>
        <w:widowControl/>
        <w:suppressLineNumbers w:val="0"/>
        <w:spacing w:before="0" w:beforeAutospacing="1" w:after="0" w:afterAutospacing="1"/>
        <w:ind w:left="0" w:right="0"/>
      </w:pPr>
      <w:r>
        <w:rPr>
          <w:rFonts w:hint="eastAsia" w:ascii="仿宋" w:hAnsi="仿宋" w:eastAsia="仿宋" w:cs="仿宋"/>
          <w:color w:val="000000"/>
          <w:sz w:val="32"/>
          <w:szCs w:val="32"/>
          <w:lang w:val="ar" w:eastAsia="zh-CN"/>
        </w:rPr>
        <w:t>2024年度本年支出合计427.63万元，其中:基本支出370.97万元，占86.8%；项目支出56.66万元，占13.3%。</w:t>
      </w:r>
    </w:p>
    <w:p w14:paraId="4F758FF9">
      <w:pPr>
        <w:pStyle w:val="21"/>
        <w:keepNext w:val="0"/>
        <w:keepLines w:val="0"/>
        <w:widowControl/>
        <w:suppressLineNumbers w:val="0"/>
        <w:spacing w:before="0" w:beforeAutospacing="1" w:after="0" w:afterAutospacing="1"/>
        <w:ind w:left="0" w:right="0"/>
        <w:jc w:val="center"/>
      </w:pPr>
      <w:r>
        <w:drawing>
          <wp:inline distT="0" distB="0" distL="114300" distR="114300">
            <wp:extent cx="304800" cy="304800"/>
            <wp:effectExtent l="0" t="0" r="0" b="0"/>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7BBD5F8D">
      <w:pPr>
        <w:pStyle w:val="21"/>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仿宋"/>
          <w:color w:val="000000"/>
          <w:sz w:val="32"/>
          <w:szCs w:val="32"/>
          <w:lang w:val="ar" w:eastAsia="zh-CN"/>
        </w:rPr>
        <w:t>（图3：支出决算结构图）</w:t>
      </w:r>
    </w:p>
    <w:p w14:paraId="27E5E199">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四、财政拨款收入支出决算总体情况说明</w:t>
      </w:r>
    </w:p>
    <w:p w14:paraId="30FC5BB9">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 xml:space="preserve">2024年度财政拨款收入、支出总计均为427.63万元。与2023年度相比，财政拨款收入、支出总计各减少43.41万元，下降9.2%。 </w:t>
      </w:r>
    </w:p>
    <w:p w14:paraId="79712EB1">
      <w:pPr>
        <w:keepNext w:val="0"/>
        <w:keepLines w:val="0"/>
        <w:widowControl/>
        <w:suppressLineNumbers w:val="0"/>
        <w:jc w:val="left"/>
      </w:pPr>
    </w:p>
    <w:p w14:paraId="7555140E">
      <w:pPr>
        <w:pStyle w:val="21"/>
        <w:keepNext w:val="0"/>
        <w:keepLines w:val="0"/>
        <w:widowControl/>
        <w:suppressLineNumbers w:val="0"/>
        <w:spacing w:before="0" w:beforeAutospacing="1" w:after="0" w:afterAutospacing="1"/>
        <w:ind w:left="0" w:right="0" w:firstLine="0"/>
        <w:jc w:val="left"/>
      </w:pPr>
      <w:r>
        <w:drawing>
          <wp:inline distT="0" distB="0" distL="114300" distR="114300">
            <wp:extent cx="304800" cy="304800"/>
            <wp:effectExtent l="0" t="0" r="0" b="0"/>
            <wp:docPr id="1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9"/>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2EC085C7">
      <w:pPr>
        <w:pStyle w:val="21"/>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仿宋"/>
          <w:color w:val="000000"/>
          <w:sz w:val="32"/>
          <w:szCs w:val="32"/>
          <w:lang w:val="ar" w:eastAsia="zh-CN"/>
        </w:rPr>
        <w:t>（图4：财政拨款收、支决算总计变动情况）</w:t>
      </w:r>
    </w:p>
    <w:p w14:paraId="3EE48E36">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五、一般公共预算财政拨款支出决算情况说明</w:t>
      </w:r>
    </w:p>
    <w:p w14:paraId="5F4BA4B7">
      <w:pPr>
        <w:pStyle w:val="21"/>
        <w:keepNext w:val="0"/>
        <w:keepLines w:val="0"/>
        <w:widowControl/>
        <w:suppressLineNumbers w:val="0"/>
        <w:spacing w:before="0" w:beforeAutospacing="1" w:after="0" w:afterAutospacing="1" w:line="600" w:lineRule="atLeast"/>
        <w:ind w:left="0" w:right="0" w:firstLine="643"/>
      </w:pPr>
      <w:r>
        <w:rPr>
          <w:rFonts w:ascii="楷体" w:hAnsi="楷体" w:eastAsia="楷体" w:cs="楷体"/>
          <w:b/>
          <w:bCs/>
          <w:color w:val="000000"/>
          <w:sz w:val="32"/>
          <w:szCs w:val="32"/>
          <w:lang w:val="ar" w:eastAsia="zh-CN"/>
        </w:rPr>
        <w:t>（一）一般公共预算财政拨款支出决算总体情况</w:t>
      </w:r>
    </w:p>
    <w:p w14:paraId="4778E65D">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 xml:space="preserve">2024年度一般公共预算财政拨款支出405.13万元，占本年支出合计的94.7%。与2023年度相比，一般公共预算财政拨款增加52.44万元，增长14.9%。 </w:t>
      </w:r>
    </w:p>
    <w:p w14:paraId="12EE74F3">
      <w:pPr>
        <w:pStyle w:val="21"/>
        <w:keepNext w:val="0"/>
        <w:keepLines w:val="0"/>
        <w:widowControl/>
        <w:suppressLineNumbers w:val="0"/>
        <w:spacing w:before="0" w:beforeAutospacing="1" w:after="0" w:afterAutospacing="1"/>
        <w:ind w:left="0" w:right="0" w:firstLine="0"/>
      </w:pPr>
      <w:r>
        <w:drawing>
          <wp:inline distT="0" distB="0" distL="114300" distR="114300">
            <wp:extent cx="304800" cy="3048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3021B61B">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（图5：一般公共预算财政拨款支出决算变动情况）</w:t>
      </w:r>
    </w:p>
    <w:p w14:paraId="5F5EA372">
      <w:pPr>
        <w:pStyle w:val="21"/>
        <w:keepNext w:val="0"/>
        <w:keepLines w:val="0"/>
        <w:widowControl/>
        <w:suppressLineNumbers w:val="0"/>
        <w:spacing w:before="0" w:beforeAutospacing="1" w:after="0" w:afterAutospacing="1" w:line="600" w:lineRule="atLeast"/>
        <w:ind w:left="0" w:right="0" w:firstLine="643"/>
      </w:pPr>
      <w:r>
        <w:rPr>
          <w:rFonts w:hint="eastAsia" w:ascii="楷体" w:hAnsi="楷体" w:eastAsia="楷体" w:cs="楷体"/>
          <w:b/>
          <w:bCs/>
          <w:color w:val="000000"/>
          <w:sz w:val="32"/>
          <w:szCs w:val="32"/>
          <w:lang w:val="ar" w:eastAsia="zh-CN"/>
        </w:rPr>
        <w:t>（二）一般公共预算财政拨款支出决算结构情况</w:t>
      </w:r>
    </w:p>
    <w:p w14:paraId="11848E29">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2024年度一般公共预算财政拨款支出405.13万元，主要用于以下方面: 一般公共服务支出334.07万元，占82.5%；社会保障和就业支出34.94万元，占8.6%；卫生健康支出11.83万元，占2.9%；住房保障支出24.29万元，占6%。</w:t>
      </w:r>
    </w:p>
    <w:p w14:paraId="1F04C45F">
      <w:pPr>
        <w:pStyle w:val="21"/>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5CFE0539">
      <w:pPr>
        <w:pStyle w:val="21"/>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仿宋"/>
          <w:color w:val="000000"/>
          <w:sz w:val="32"/>
          <w:szCs w:val="32"/>
          <w:lang w:val="ar" w:eastAsia="zh-CN"/>
        </w:rPr>
        <w:t>（图6：一般公共预算财政拨款支出决算结构）</w:t>
      </w:r>
    </w:p>
    <w:p w14:paraId="39EDC041">
      <w:pPr>
        <w:pStyle w:val="21"/>
        <w:keepNext w:val="0"/>
        <w:keepLines w:val="0"/>
        <w:widowControl/>
        <w:suppressLineNumbers w:val="0"/>
        <w:spacing w:before="0" w:beforeAutospacing="1" w:after="0" w:afterAutospacing="1" w:line="600" w:lineRule="atLeast"/>
        <w:ind w:left="0" w:right="0" w:firstLine="643"/>
      </w:pPr>
      <w:r>
        <w:rPr>
          <w:rFonts w:hint="eastAsia" w:ascii="楷体" w:hAnsi="楷体" w:eastAsia="楷体" w:cs="楷体"/>
          <w:b/>
          <w:bCs/>
          <w:color w:val="000000"/>
          <w:sz w:val="32"/>
          <w:szCs w:val="32"/>
          <w:lang w:val="ar" w:eastAsia="zh-CN"/>
        </w:rPr>
        <w:t>（三）一般公共预算财政拨款支出决算具体情况</w:t>
      </w:r>
    </w:p>
    <w:p w14:paraId="4F595995">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2024年度一般公共预算支出决算数为405.13万元，完成预算100%。其中：</w:t>
      </w:r>
    </w:p>
    <w:p w14:paraId="5E765739">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1.一般公共服务支出（类）政府办公厅（室）及相关机构事务（款）行政运行（项）:支出决算280.17万元，完成预算100%。</w:t>
      </w:r>
      <w:r>
        <w:br w:type="textWrapping"/>
      </w:r>
      <w:r>
        <w:rPr>
          <w:rFonts w:hint="eastAsia" w:ascii="仿宋" w:hAnsi="仿宋" w:eastAsia="仿宋" w:cs="仿宋"/>
          <w:color w:val="000000"/>
          <w:sz w:val="32"/>
          <w:szCs w:val="32"/>
          <w:lang w:val="ar" w:eastAsia="zh-CN"/>
        </w:rPr>
        <w:t>    2.一般公共服务支出（类）政府办公厅（室）及相关机构事务（款）一般行政管理事务（项）:支出决算34.16万元，完成预算100%。</w:t>
      </w:r>
      <w:r>
        <w:br w:type="textWrapping"/>
      </w:r>
      <w:r>
        <w:rPr>
          <w:rFonts w:hint="eastAsia" w:ascii="仿宋" w:hAnsi="仿宋" w:eastAsia="仿宋" w:cs="仿宋"/>
          <w:color w:val="000000"/>
          <w:sz w:val="32"/>
          <w:szCs w:val="32"/>
          <w:lang w:val="ar" w:eastAsia="zh-CN"/>
        </w:rPr>
        <w:t>    3.一般公共服务支出（类）政府办公厅（室）及相关机构事务（款）事业运行（项）:支出决算19.74万元，完成预算100%。</w:t>
      </w:r>
      <w:r>
        <w:br w:type="textWrapping"/>
      </w:r>
      <w:r>
        <w:rPr>
          <w:rFonts w:hint="eastAsia" w:ascii="仿宋" w:hAnsi="仿宋" w:eastAsia="仿宋" w:cs="仿宋"/>
          <w:color w:val="000000"/>
          <w:sz w:val="32"/>
          <w:szCs w:val="32"/>
          <w:lang w:val="ar" w:eastAsia="zh-CN"/>
        </w:rPr>
        <w:t>    4.社会保障和就业支出（类）行政事业单位养老支出（款）机关事业单位基本养老保险缴费支出（项）:支出决算34.94万元，完成预算100%。</w:t>
      </w:r>
      <w:r>
        <w:br w:type="textWrapping"/>
      </w:r>
      <w:r>
        <w:rPr>
          <w:rFonts w:hint="eastAsia" w:ascii="仿宋" w:hAnsi="仿宋" w:eastAsia="仿宋" w:cs="仿宋"/>
          <w:color w:val="000000"/>
          <w:sz w:val="32"/>
          <w:szCs w:val="32"/>
          <w:lang w:val="ar" w:eastAsia="zh-CN"/>
        </w:rPr>
        <w:t>    5.卫生健康支出（类）行政事业单位医疗（款）行政单位医疗（项）:支出决算7.64万元，完成预算100%。</w:t>
      </w:r>
      <w:r>
        <w:br w:type="textWrapping"/>
      </w:r>
      <w:r>
        <w:rPr>
          <w:rFonts w:hint="eastAsia" w:ascii="仿宋" w:hAnsi="仿宋" w:eastAsia="仿宋" w:cs="仿宋"/>
          <w:color w:val="000000"/>
          <w:sz w:val="32"/>
          <w:szCs w:val="32"/>
          <w:lang w:val="ar" w:eastAsia="zh-CN"/>
        </w:rPr>
        <w:t>    6.卫生健康支出（类）行政事业单位医疗（款）事业单位医疗（项）:支出决算0.73万元，完成预算100%。</w:t>
      </w:r>
      <w:r>
        <w:br w:type="textWrapping"/>
      </w:r>
      <w:r>
        <w:rPr>
          <w:rFonts w:hint="eastAsia" w:ascii="仿宋" w:hAnsi="仿宋" w:eastAsia="仿宋" w:cs="仿宋"/>
          <w:color w:val="000000"/>
          <w:sz w:val="32"/>
          <w:szCs w:val="32"/>
          <w:lang w:val="ar" w:eastAsia="zh-CN"/>
        </w:rPr>
        <w:t>    7.卫生健康支出（类）行政事业单位医疗（款）公务员医疗补助（项）:支出决算3.46万元，完成预算100%。</w:t>
      </w:r>
      <w:r>
        <w:br w:type="textWrapping"/>
      </w:r>
      <w:r>
        <w:rPr>
          <w:rFonts w:hint="eastAsia" w:ascii="仿宋" w:hAnsi="仿宋" w:eastAsia="仿宋" w:cs="仿宋"/>
          <w:color w:val="000000"/>
          <w:sz w:val="32"/>
          <w:szCs w:val="32"/>
          <w:lang w:val="ar" w:eastAsia="zh-CN"/>
        </w:rPr>
        <w:t>    8.住房保障支出（类）住房改革支出（款）住房公积金（项）:支出决算24.29万元，完成预算100%。</w:t>
      </w:r>
    </w:p>
    <w:p w14:paraId="5FB03DB2">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六、一般公共预算财政拨款基本支出决算情况说明</w:t>
      </w:r>
    </w:p>
    <w:p w14:paraId="21E09E9D">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2024年度一般公共预算财政拨款基本支出370.97万元，其中：</w:t>
      </w:r>
    </w:p>
    <w:p w14:paraId="4FD18595">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人员经费343.51万元，主要包括：基本工资86.08万元、津贴补贴66.75万元、奖金101.45万元、绩效工资4.82万元、机关事业单位基本养老保险缴费34.94万元、职工基本医疗保险缴费8.37万元、公务员医疗补助缴费3.46万元、其他社会保障缴费1.5万元、住房公积金24.29万元、生活补助11.84万元、奖励金0.01万元。</w:t>
      </w:r>
    </w:p>
    <w:p w14:paraId="5F4CF82E">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公用经费27.46万元，主要包括：办公费4.03万元、水费0.08万元、电费2.4万元、邮电费4.46万元、差旅费3.11万元、维修（护）费0.7万元、租赁费1万元、公务接待费0.31万元、其他交通费用11.08万元、其他商品和服务支出0.13万元。</w:t>
      </w:r>
    </w:p>
    <w:p w14:paraId="26ADBF82">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七、“三公”经费财政拨款支出决算情况说明</w:t>
      </w:r>
    </w:p>
    <w:p w14:paraId="29EBB489">
      <w:pPr>
        <w:pStyle w:val="21"/>
        <w:keepNext w:val="0"/>
        <w:keepLines w:val="0"/>
        <w:widowControl/>
        <w:suppressLineNumbers w:val="0"/>
        <w:spacing w:before="0" w:beforeAutospacing="1" w:after="0" w:afterAutospacing="1" w:line="600" w:lineRule="atLeast"/>
        <w:ind w:left="0" w:right="0" w:firstLine="643"/>
      </w:pPr>
      <w:r>
        <w:rPr>
          <w:rFonts w:hint="eastAsia" w:ascii="仿宋" w:hAnsi="仿宋" w:eastAsia="仿宋" w:cs="仿宋"/>
          <w:b/>
          <w:bCs/>
          <w:color w:val="000000"/>
          <w:sz w:val="32"/>
          <w:szCs w:val="32"/>
          <w:lang w:val="ar" w:eastAsia="zh-CN"/>
        </w:rPr>
        <w:t>（一）“三公”经费财政拨款支出决算总体情况说明</w:t>
      </w:r>
    </w:p>
    <w:p w14:paraId="6DDD7205">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2024年度“三公”经费财政拨款支出决算为0.31万元，完成预算100%，较上年度减少0.19万元，下降37.3%。</w:t>
      </w:r>
    </w:p>
    <w:p w14:paraId="52AC6AEC">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b/>
          <w:bCs/>
          <w:color w:val="000000"/>
          <w:sz w:val="32"/>
          <w:szCs w:val="32"/>
          <w:lang w:val="ar" w:eastAsia="zh-CN"/>
        </w:rPr>
        <w:t>（注：上述“预算”口径为全年预算数，包括一般公共预算和政府性基金预算财政拨款支出决算情况。）</w:t>
      </w:r>
    </w:p>
    <w:p w14:paraId="2798BE10">
      <w:pPr>
        <w:pStyle w:val="21"/>
        <w:keepNext w:val="0"/>
        <w:keepLines w:val="0"/>
        <w:widowControl/>
        <w:suppressLineNumbers w:val="0"/>
        <w:spacing w:before="0" w:beforeAutospacing="1" w:after="0" w:afterAutospacing="1" w:line="600" w:lineRule="atLeast"/>
        <w:ind w:left="0" w:right="0" w:firstLine="643"/>
      </w:pPr>
      <w:r>
        <w:rPr>
          <w:rFonts w:hint="eastAsia" w:ascii="仿宋" w:hAnsi="仿宋" w:eastAsia="仿宋" w:cs="仿宋"/>
          <w:b/>
          <w:bCs/>
          <w:color w:val="000000"/>
          <w:sz w:val="32"/>
          <w:szCs w:val="32"/>
          <w:lang w:val="ar" w:eastAsia="zh-CN"/>
        </w:rPr>
        <w:t>（二）“三公”经费财政拨款支出决算具体情况说明</w:t>
      </w:r>
    </w:p>
    <w:p w14:paraId="3CE594FD">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2024年度“三公”经费财政拨款支出0.31万元，因公出国（境）费支出决算0万元，占0%；公务用车购置及运行维护费支出决算0万元，占0%；公务接待费支出决算0.31万元，占100%。具体情况如下：</w:t>
      </w:r>
    </w:p>
    <w:p w14:paraId="76D72129">
      <w:pPr>
        <w:pStyle w:val="21"/>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1E82380E">
      <w:pPr>
        <w:pStyle w:val="21"/>
        <w:keepNext w:val="0"/>
        <w:keepLines w:val="0"/>
        <w:widowControl/>
        <w:suppressLineNumbers w:val="0"/>
        <w:spacing w:before="0" w:beforeAutospacing="1" w:after="0" w:afterAutospacing="1" w:line="600" w:lineRule="atLeast"/>
        <w:ind w:left="0" w:right="0" w:firstLine="640"/>
        <w:jc w:val="center"/>
      </w:pPr>
      <w:r>
        <w:rPr>
          <w:rFonts w:hint="eastAsia" w:ascii="仿宋" w:hAnsi="仿宋" w:eastAsia="仿宋" w:cs="仿宋"/>
          <w:color w:val="000000"/>
          <w:sz w:val="32"/>
          <w:szCs w:val="32"/>
          <w:lang w:val="ar" w:eastAsia="zh-CN"/>
        </w:rPr>
        <w:t>（图7：“三公”经费财政拨款支出结构）</w:t>
      </w:r>
    </w:p>
    <w:p w14:paraId="3AF65D9B">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b/>
          <w:bCs/>
          <w:color w:val="000000"/>
          <w:sz w:val="32"/>
          <w:szCs w:val="32"/>
          <w:lang w:val="ar" w:eastAsia="zh-CN"/>
        </w:rPr>
        <w:t>1.因公出国（境）经费支出</w:t>
      </w:r>
      <w:r>
        <w:rPr>
          <w:rFonts w:hint="eastAsia" w:ascii="仿宋" w:hAnsi="仿宋" w:eastAsia="仿宋" w:cs="仿宋"/>
          <w:color w:val="000000"/>
          <w:sz w:val="32"/>
          <w:szCs w:val="32"/>
          <w:lang w:val="ar" w:eastAsia="zh-CN"/>
        </w:rPr>
        <w:t xml:space="preserve">0万元,完成预算100%。全年安排因公出国（境）团组0次，出国（境）0人。因公出国（境）支出决算比2023年增加0万元，增长0%。 </w:t>
      </w:r>
    </w:p>
    <w:p w14:paraId="5E6FFB5D">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b/>
          <w:bCs/>
          <w:color w:val="000000"/>
          <w:sz w:val="32"/>
          <w:szCs w:val="32"/>
          <w:lang w:val="ar" w:eastAsia="zh-CN"/>
        </w:rPr>
        <w:t>2.公务用车购置及运行维护费支出</w:t>
      </w:r>
      <w:r>
        <w:rPr>
          <w:rFonts w:hint="eastAsia" w:ascii="仿宋" w:hAnsi="仿宋" w:eastAsia="仿宋" w:cs="仿宋"/>
          <w:color w:val="000000"/>
          <w:sz w:val="32"/>
          <w:szCs w:val="32"/>
          <w:lang w:val="ar" w:eastAsia="zh-CN"/>
        </w:rPr>
        <w:t xml:space="preserve">0万元,完成预算0%。公务用车购置及运行维护费支出决算比2023年度增加0万元，增长0%。 </w:t>
      </w:r>
    </w:p>
    <w:p w14:paraId="6BD40EC6">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其中：</w:t>
      </w:r>
      <w:r>
        <w:rPr>
          <w:rFonts w:hint="eastAsia" w:ascii="仿宋" w:hAnsi="仿宋" w:eastAsia="仿宋" w:cs="仿宋"/>
          <w:b/>
          <w:bCs/>
          <w:color w:val="000000"/>
          <w:sz w:val="32"/>
          <w:szCs w:val="32"/>
          <w:lang w:val="ar" w:eastAsia="zh-CN"/>
        </w:rPr>
        <w:t>公务用车购置支出</w:t>
      </w:r>
      <w:r>
        <w:rPr>
          <w:rFonts w:hint="eastAsia" w:ascii="仿宋" w:hAnsi="仿宋" w:eastAsia="仿宋" w:cs="仿宋"/>
          <w:color w:val="000000"/>
          <w:sz w:val="32"/>
          <w:szCs w:val="32"/>
          <w:lang w:val="ar" w:eastAsia="zh-CN"/>
        </w:rPr>
        <w:t>0万元。全年按规定更新购置公务用车0辆，其中：轿车0辆、金额0万元，越野车0辆、金额0万元，载客汽车0辆、金额0万元。截至2024年12月31日，单位共有公务用车0辆，其中：轿车0辆、越野车0辆、载客汽车0辆。</w:t>
      </w:r>
    </w:p>
    <w:p w14:paraId="4CC06675">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b/>
          <w:bCs/>
          <w:color w:val="000000"/>
          <w:sz w:val="32"/>
          <w:szCs w:val="32"/>
          <w:lang w:val="ar" w:eastAsia="zh-CN"/>
        </w:rPr>
        <w:t>公务用车运行维护费支出</w:t>
      </w:r>
      <w:r>
        <w:rPr>
          <w:rFonts w:hint="eastAsia" w:ascii="仿宋" w:hAnsi="仿宋" w:eastAsia="仿宋" w:cs="仿宋"/>
          <w:color w:val="000000"/>
          <w:sz w:val="32"/>
          <w:szCs w:val="32"/>
          <w:lang w:val="ar" w:eastAsia="zh-CN"/>
        </w:rPr>
        <w:t xml:space="preserve">0万元。 </w:t>
      </w:r>
    </w:p>
    <w:p w14:paraId="347C3D38">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b/>
          <w:bCs/>
          <w:color w:val="000000"/>
          <w:sz w:val="32"/>
          <w:szCs w:val="32"/>
          <w:lang w:val="ar" w:eastAsia="zh-CN"/>
        </w:rPr>
        <w:t>3.公务接待费支出</w:t>
      </w:r>
      <w:r>
        <w:rPr>
          <w:rFonts w:hint="eastAsia" w:ascii="仿宋" w:hAnsi="仿宋" w:eastAsia="仿宋" w:cs="仿宋"/>
          <w:color w:val="000000"/>
          <w:sz w:val="32"/>
          <w:szCs w:val="32"/>
          <w:lang w:val="ar" w:eastAsia="zh-CN"/>
        </w:rPr>
        <w:t>0.31万元，完成预算100%。公务接待费支出决算比2023年度减少0.19万元，下降37.3%。 其中：</w:t>
      </w:r>
    </w:p>
    <w:p w14:paraId="306A702B">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b/>
          <w:bCs/>
          <w:color w:val="000000"/>
          <w:sz w:val="32"/>
          <w:szCs w:val="32"/>
          <w:lang w:val="ar" w:eastAsia="zh-CN"/>
        </w:rPr>
        <w:t>国内公务接待支出</w:t>
      </w:r>
      <w:r>
        <w:rPr>
          <w:rFonts w:hint="eastAsia" w:ascii="仿宋" w:hAnsi="仿宋" w:eastAsia="仿宋" w:cs="仿宋"/>
          <w:color w:val="000000"/>
          <w:sz w:val="32"/>
          <w:szCs w:val="32"/>
          <w:lang w:val="ar" w:eastAsia="zh-CN"/>
        </w:rPr>
        <w:t>0.31万元，主要用于执行公务、开展业务活动开支的交通费、住宿费、用餐费等。国内公务接待3批次，41人次（不包括陪同人员），共计支出0.31万元。</w:t>
      </w:r>
    </w:p>
    <w:p w14:paraId="222990E6">
      <w:pPr>
        <w:pStyle w:val="21"/>
        <w:keepNext w:val="0"/>
        <w:keepLines w:val="0"/>
        <w:widowControl/>
        <w:suppressLineNumbers w:val="0"/>
        <w:spacing w:before="0" w:beforeAutospacing="1" w:after="0" w:afterAutospacing="1"/>
        <w:ind w:left="0" w:right="0"/>
      </w:pPr>
      <w:r>
        <w:rPr>
          <w:rFonts w:hint="eastAsia" w:ascii="仿宋" w:hAnsi="仿宋" w:eastAsia="仿宋" w:cs="仿宋"/>
          <w:b/>
          <w:bCs/>
          <w:color w:val="000000"/>
          <w:sz w:val="32"/>
          <w:szCs w:val="32"/>
          <w:lang w:val="ar" w:eastAsia="zh-CN"/>
        </w:rPr>
        <w:t>外事接待支出</w:t>
      </w:r>
      <w:r>
        <w:rPr>
          <w:rFonts w:hint="eastAsia" w:ascii="仿宋" w:hAnsi="仿宋" w:eastAsia="仿宋" w:cs="仿宋"/>
          <w:color w:val="000000"/>
          <w:sz w:val="32"/>
          <w:szCs w:val="32"/>
          <w:lang w:val="ar" w:eastAsia="zh-CN"/>
        </w:rPr>
        <w:t>0万元。外事接待0批次，0人次（不包括陪同人员），共计支出0万元。</w:t>
      </w:r>
    </w:p>
    <w:p w14:paraId="68016554">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八、政府性基金预算支出决算情况说明</w:t>
      </w:r>
    </w:p>
    <w:p w14:paraId="3269919F">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2024年度政府性基金预算拨款支出22.5万元</w:t>
      </w:r>
      <w:r>
        <w:rPr>
          <w:rFonts w:ascii="仿宋_GB2312" w:eastAsia="仿宋_GB2312" w:cs="仿宋_GB2312"/>
          <w:color w:val="000000"/>
          <w:sz w:val="32"/>
          <w:szCs w:val="32"/>
          <w:lang w:val="ar" w:eastAsia="zh-CN"/>
        </w:rPr>
        <w:t>，占本年支出合计的</w:t>
      </w:r>
      <w:r>
        <w:rPr>
          <w:rFonts w:hint="eastAsia" w:ascii="仿宋" w:hAnsi="仿宋" w:eastAsia="仿宋" w:cs="仿宋"/>
          <w:color w:val="000000"/>
          <w:sz w:val="32"/>
          <w:szCs w:val="32"/>
          <w:lang w:val="ar" w:eastAsia="zh-CN"/>
        </w:rPr>
        <w:t>5.3%</w:t>
      </w:r>
      <w:r>
        <w:rPr>
          <w:rFonts w:hint="default" w:ascii="仿宋_GB2312" w:eastAsia="仿宋_GB2312" w:cs="仿宋_GB2312"/>
          <w:color w:val="000000"/>
          <w:sz w:val="32"/>
          <w:szCs w:val="32"/>
          <w:lang w:val="ar" w:eastAsia="zh-CN"/>
        </w:rPr>
        <w:t>。与</w:t>
      </w:r>
      <w:r>
        <w:rPr>
          <w:rFonts w:hint="eastAsia" w:ascii="仿宋" w:hAnsi="仿宋" w:eastAsia="仿宋" w:cs="仿宋"/>
          <w:color w:val="000000"/>
          <w:sz w:val="32"/>
          <w:szCs w:val="32"/>
          <w:lang w:val="ar" w:eastAsia="zh-CN"/>
        </w:rPr>
        <w:t>2023</w:t>
      </w:r>
      <w:r>
        <w:rPr>
          <w:rFonts w:hint="default" w:ascii="仿宋_GB2312" w:eastAsia="仿宋_GB2312" w:cs="仿宋_GB2312"/>
          <w:color w:val="000000"/>
          <w:sz w:val="32"/>
          <w:szCs w:val="32"/>
          <w:lang w:val="ar" w:eastAsia="zh-CN"/>
        </w:rPr>
        <w:t>年度相比，政府性基金预算财政拨款支出</w:t>
      </w:r>
      <w:r>
        <w:rPr>
          <w:rFonts w:hint="eastAsia" w:ascii="仿宋" w:hAnsi="仿宋" w:eastAsia="仿宋" w:cs="仿宋"/>
          <w:color w:val="000000"/>
          <w:sz w:val="32"/>
          <w:szCs w:val="32"/>
          <w:lang w:val="ar" w:eastAsia="zh-CN"/>
        </w:rPr>
        <w:t>减少95.85万元</w:t>
      </w:r>
      <w:r>
        <w:rPr>
          <w:rFonts w:hint="default" w:ascii="仿宋_GB2312" w:eastAsia="仿宋_GB2312" w:cs="仿宋_GB2312"/>
          <w:color w:val="000000"/>
          <w:sz w:val="32"/>
          <w:szCs w:val="32"/>
          <w:lang w:val="ar" w:eastAsia="zh-CN"/>
        </w:rPr>
        <w:t>，</w:t>
      </w:r>
      <w:r>
        <w:rPr>
          <w:rFonts w:hint="eastAsia" w:ascii="仿宋" w:hAnsi="仿宋" w:eastAsia="仿宋" w:cs="仿宋"/>
          <w:color w:val="000000"/>
          <w:sz w:val="32"/>
          <w:szCs w:val="32"/>
          <w:lang w:val="ar" w:eastAsia="zh-CN"/>
        </w:rPr>
        <w:t>下降81%。 </w:t>
      </w:r>
    </w:p>
    <w:p w14:paraId="6A56FBC1">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九、国有资本经营预算支出决算情况说明</w:t>
      </w:r>
    </w:p>
    <w:p w14:paraId="337229D2">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2024年度国有资本经营预算拨款支出0万元</w:t>
      </w:r>
      <w:r>
        <w:rPr>
          <w:rFonts w:hint="default" w:ascii="仿宋_GB2312" w:eastAsia="仿宋_GB2312" w:cs="仿宋_GB2312"/>
          <w:color w:val="000000"/>
          <w:sz w:val="32"/>
          <w:szCs w:val="32"/>
          <w:lang w:val="ar" w:eastAsia="zh-CN"/>
        </w:rPr>
        <w:t>，占本年支出合计的</w:t>
      </w:r>
      <w:r>
        <w:rPr>
          <w:rFonts w:hint="eastAsia" w:ascii="仿宋" w:hAnsi="仿宋" w:eastAsia="仿宋" w:cs="仿宋"/>
          <w:color w:val="000000"/>
          <w:sz w:val="32"/>
          <w:szCs w:val="32"/>
          <w:lang w:val="ar" w:eastAsia="zh-CN"/>
        </w:rPr>
        <w:t>0%</w:t>
      </w:r>
      <w:r>
        <w:rPr>
          <w:rFonts w:hint="default" w:ascii="仿宋_GB2312" w:eastAsia="仿宋_GB2312" w:cs="仿宋_GB2312"/>
          <w:color w:val="000000"/>
          <w:sz w:val="32"/>
          <w:szCs w:val="32"/>
          <w:lang w:val="ar" w:eastAsia="zh-CN"/>
        </w:rPr>
        <w:t>。与</w:t>
      </w:r>
      <w:r>
        <w:rPr>
          <w:rFonts w:hint="eastAsia" w:ascii="仿宋" w:hAnsi="仿宋" w:eastAsia="仿宋" w:cs="仿宋"/>
          <w:color w:val="000000"/>
          <w:sz w:val="32"/>
          <w:szCs w:val="32"/>
          <w:lang w:val="ar" w:eastAsia="zh-CN"/>
        </w:rPr>
        <w:t>2023</w:t>
      </w:r>
      <w:r>
        <w:rPr>
          <w:rFonts w:hint="default" w:ascii="仿宋_GB2312" w:eastAsia="仿宋_GB2312" w:cs="仿宋_GB2312"/>
          <w:color w:val="000000"/>
          <w:sz w:val="32"/>
          <w:szCs w:val="32"/>
          <w:lang w:val="ar" w:eastAsia="zh-CN"/>
        </w:rPr>
        <w:t>年度相比，国有资本经营预算财政拨款支出</w:t>
      </w:r>
      <w:r>
        <w:rPr>
          <w:rFonts w:hint="eastAsia" w:ascii="仿宋" w:hAnsi="仿宋" w:eastAsia="仿宋" w:cs="仿宋"/>
          <w:color w:val="000000"/>
          <w:sz w:val="32"/>
          <w:szCs w:val="32"/>
          <w:lang w:val="ar" w:eastAsia="zh-CN"/>
        </w:rPr>
        <w:t>增加0万元</w:t>
      </w:r>
      <w:r>
        <w:rPr>
          <w:rFonts w:hint="default" w:ascii="仿宋_GB2312" w:eastAsia="仿宋_GB2312" w:cs="仿宋_GB2312"/>
          <w:color w:val="000000"/>
          <w:sz w:val="32"/>
          <w:szCs w:val="32"/>
          <w:lang w:val="ar" w:eastAsia="zh-CN"/>
        </w:rPr>
        <w:t>，</w:t>
      </w:r>
      <w:r>
        <w:rPr>
          <w:rFonts w:hint="eastAsia" w:ascii="仿宋" w:hAnsi="仿宋" w:eastAsia="仿宋" w:cs="仿宋"/>
          <w:color w:val="000000"/>
          <w:sz w:val="32"/>
          <w:szCs w:val="32"/>
          <w:lang w:val="ar" w:eastAsia="zh-CN"/>
        </w:rPr>
        <w:t>增长0%。 </w:t>
      </w:r>
    </w:p>
    <w:p w14:paraId="7B80A7A2">
      <w:pPr>
        <w:pStyle w:val="21"/>
        <w:keepNext w:val="0"/>
        <w:keepLines w:val="0"/>
        <w:widowControl/>
        <w:suppressLineNumbers w:val="0"/>
        <w:spacing w:before="0" w:beforeAutospacing="1" w:after="0" w:afterAutospacing="1"/>
        <w:ind w:left="0" w:right="0" w:firstLine="640"/>
      </w:pPr>
      <w:r>
        <w:rPr>
          <w:rFonts w:hint="eastAsia" w:ascii="黑体" w:hAnsi="宋体" w:eastAsia="黑体" w:cs="黑体"/>
          <w:b w:val="0"/>
          <w:bCs w:val="0"/>
          <w:color w:val="000000"/>
          <w:sz w:val="32"/>
          <w:szCs w:val="32"/>
          <w:lang w:val="ar" w:eastAsia="zh-CN"/>
        </w:rPr>
        <w:t>十、其他重要事项的情况说明</w:t>
      </w:r>
    </w:p>
    <w:p w14:paraId="4BBCF83D">
      <w:pPr>
        <w:pStyle w:val="21"/>
        <w:keepNext w:val="0"/>
        <w:keepLines w:val="0"/>
        <w:widowControl/>
        <w:suppressLineNumbers w:val="0"/>
        <w:spacing w:before="0" w:beforeAutospacing="1" w:after="0" w:afterAutospacing="1" w:line="600" w:lineRule="atLeast"/>
        <w:ind w:left="0" w:right="0" w:firstLine="643"/>
      </w:pPr>
      <w:r>
        <w:rPr>
          <w:rFonts w:hint="eastAsia" w:ascii="楷体" w:hAnsi="楷体" w:eastAsia="楷体" w:cs="楷体"/>
          <w:b/>
          <w:bCs/>
          <w:color w:val="000000"/>
          <w:sz w:val="32"/>
          <w:szCs w:val="32"/>
          <w:lang w:val="ar" w:eastAsia="zh-CN"/>
        </w:rPr>
        <w:t>（一）机关运行经费支出情况</w:t>
      </w:r>
    </w:p>
    <w:p w14:paraId="6E1F4F8C">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 xml:space="preserve">2024年度，武胜县信访局机关运行经费支出27.46万元，比2023年减少7.65万元，下降27.8%。 </w:t>
      </w:r>
    </w:p>
    <w:p w14:paraId="6520F06B">
      <w:pPr>
        <w:pStyle w:val="21"/>
        <w:keepNext w:val="0"/>
        <w:keepLines w:val="0"/>
        <w:widowControl/>
        <w:suppressLineNumbers w:val="0"/>
        <w:spacing w:before="0" w:beforeAutospacing="1" w:after="0" w:afterAutospacing="1" w:line="600" w:lineRule="atLeast"/>
        <w:ind w:left="0" w:right="0" w:firstLine="643"/>
      </w:pPr>
      <w:r>
        <w:rPr>
          <w:rFonts w:hint="eastAsia" w:ascii="楷体" w:hAnsi="楷体" w:eastAsia="楷体" w:cs="楷体"/>
          <w:b/>
          <w:bCs/>
          <w:color w:val="000000"/>
          <w:sz w:val="32"/>
          <w:szCs w:val="32"/>
          <w:lang w:val="ar" w:eastAsia="zh-CN"/>
        </w:rPr>
        <w:t>（二）政府采购支出情况</w:t>
      </w:r>
    </w:p>
    <w:p w14:paraId="0D31C5DD">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2024年度，武胜县信访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41A5B9C">
      <w:pPr>
        <w:pStyle w:val="21"/>
        <w:keepNext w:val="0"/>
        <w:keepLines w:val="0"/>
        <w:widowControl/>
        <w:suppressLineNumbers w:val="0"/>
        <w:spacing w:before="0" w:beforeAutospacing="1" w:after="0" w:afterAutospacing="1" w:line="600" w:lineRule="atLeast"/>
        <w:ind w:left="0" w:right="0" w:firstLine="643"/>
      </w:pPr>
      <w:r>
        <w:rPr>
          <w:rFonts w:hint="eastAsia" w:ascii="楷体" w:hAnsi="楷体" w:eastAsia="楷体" w:cs="楷体"/>
          <w:b/>
          <w:bCs/>
          <w:color w:val="000000"/>
          <w:sz w:val="32"/>
          <w:szCs w:val="32"/>
          <w:lang w:val="ar" w:eastAsia="zh-CN"/>
        </w:rPr>
        <w:t>（三）国有资产占有使用情况</w:t>
      </w:r>
    </w:p>
    <w:p w14:paraId="10D148BE">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截至2024年12月31日，武胜县信访局共有车辆0辆，其中：主要领导干部用车0辆、机要通信用车0辆、应急保障用车0辆、其他用车0辆。单价100万元以上专用设备（不含车辆）0台（套）。</w:t>
      </w:r>
    </w:p>
    <w:p w14:paraId="5DA4E07C">
      <w:pPr>
        <w:pStyle w:val="21"/>
        <w:keepNext w:val="0"/>
        <w:keepLines w:val="0"/>
        <w:widowControl/>
        <w:suppressLineNumbers w:val="0"/>
        <w:spacing w:before="0" w:beforeAutospacing="1" w:after="0" w:afterAutospacing="1"/>
        <w:ind w:left="0" w:right="0"/>
      </w:pPr>
      <w:r>
        <w:rPr>
          <w:rFonts w:hint="eastAsia" w:ascii="仿宋" w:hAnsi="仿宋" w:eastAsia="仿宋" w:cs="仿宋"/>
          <w:sz w:val="32"/>
          <w:szCs w:val="32"/>
          <w:lang w:val="ar" w:eastAsia="zh-CN"/>
        </w:rPr>
        <w:t> </w:t>
      </w:r>
    </w:p>
    <w:p w14:paraId="70F34697">
      <w:pPr>
        <w:keepNext w:val="0"/>
        <w:keepLines w:val="0"/>
        <w:widowControl/>
        <w:suppressLineNumbers w:val="0"/>
        <w:jc w:val="left"/>
      </w:pPr>
    </w:p>
    <w:p w14:paraId="65672E23">
      <w:pPr>
        <w:pStyle w:val="21"/>
        <w:keepNext w:val="0"/>
        <w:keepLines w:val="0"/>
        <w:widowControl/>
        <w:suppressLineNumbers w:val="0"/>
        <w:spacing w:before="0" w:beforeAutospacing="1" w:after="0" w:afterAutospacing="1"/>
        <w:ind w:left="0" w:right="0"/>
        <w:jc w:val="center"/>
      </w:pPr>
      <w:r>
        <w:rPr>
          <w:rFonts w:hint="eastAsia" w:ascii="黑体" w:hAnsi="宋体" w:eastAsia="黑体" w:cs="黑体"/>
          <w:b w:val="0"/>
          <w:bCs w:val="0"/>
          <w:sz w:val="44"/>
          <w:szCs w:val="44"/>
          <w:lang w:val="ar" w:eastAsia="zh-CN"/>
        </w:rPr>
        <w:t>第三部分 名词解释</w:t>
      </w:r>
    </w:p>
    <w:p w14:paraId="26F67B7B">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1.财政拨款收入：指单位从同级财政部门取得的财政预算资金。</w:t>
      </w:r>
    </w:p>
    <w:p w14:paraId="03DDEC63">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2.事业收入：指事业单位开展专业业务活动及辅助活动取得的收入。</w:t>
      </w:r>
    </w:p>
    <w:p w14:paraId="2A38A4E9">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3.经营收入：指事业单位在专业业务活动及其辅助活动之外开展非独立核算经营活动取得的收入</w:t>
      </w:r>
    </w:p>
    <w:p w14:paraId="6E7382B2">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4.其他收入：指单位取得的除上述收入以外的各项收入。</w:t>
      </w:r>
    </w:p>
    <w:p w14:paraId="3D8AEE28">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 xml:space="preserve">5.使用非财政拨款结余（含专用结余）：指事业单位使用以前年度积累的非财政拨款结余弥补当年收支差额的金额。 </w:t>
      </w:r>
    </w:p>
    <w:p w14:paraId="404F440C">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 xml:space="preserve">6.年初结转和结余：指以前年度尚未完成、结转到本年按有关规定继续使用的资金。 </w:t>
      </w:r>
    </w:p>
    <w:p w14:paraId="77936919">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7.结余分配：指事业单位按照会计制度规定缴纳的所得税、提取的专用结余以及转入非财政拨款结余的金额等。</w:t>
      </w:r>
    </w:p>
    <w:p w14:paraId="367930AA">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8.年末结转和结余：指单位按有关规定结转到下年或以后年度继续使用的资金。</w:t>
      </w:r>
    </w:p>
    <w:p w14:paraId="5E21DA9E">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9.一般公共服务支出（类）政府办公厅（室）及相关机构事务（款）行政运行（项）:反映行政单位（包括实行公务员管理的事业单位）的基本支出。</w:t>
      </w:r>
      <w:r>
        <w:br w:type="textWrapping"/>
      </w:r>
      <w:r>
        <w:rPr>
          <w:rFonts w:hint="eastAsia" w:ascii="仿宋" w:hAnsi="仿宋" w:eastAsia="仿宋" w:cs="仿宋"/>
          <w:color w:val="000000"/>
          <w:sz w:val="32"/>
          <w:szCs w:val="32"/>
          <w:lang w:val="ar" w:eastAsia="zh-CN"/>
        </w:rPr>
        <w:t>    10.一般公共服务支出（类）政府办公厅（室）及相关机构事务（款）一般行政管理事务（项）:反映行政单位（包括实行公务员管理的事业单位）未单独设置项级科目的其他项目支出。</w:t>
      </w:r>
      <w:r>
        <w:br w:type="textWrapping"/>
      </w:r>
      <w:r>
        <w:rPr>
          <w:rFonts w:hint="eastAsia" w:ascii="仿宋" w:hAnsi="仿宋" w:eastAsia="仿宋" w:cs="仿宋"/>
          <w:color w:val="000000"/>
          <w:sz w:val="32"/>
          <w:szCs w:val="32"/>
          <w:lang w:val="ar" w:eastAsia="zh-CN"/>
        </w:rPr>
        <w:t>    11.一般公共服务支出（类）政府办公厅（室）及相关机构事务（款）事业运行（项）:反映事业单位的基本支出，不包括行政单位（包括实行公务员管理的事业单位）后勤服务中心、医务室等附属事业单位。</w:t>
      </w:r>
      <w:r>
        <w:br w:type="textWrapping"/>
      </w:r>
      <w:r>
        <w:rPr>
          <w:rFonts w:hint="eastAsia" w:ascii="仿宋" w:hAnsi="仿宋" w:eastAsia="仿宋" w:cs="仿宋"/>
          <w:color w:val="000000"/>
          <w:sz w:val="32"/>
          <w:szCs w:val="32"/>
          <w:lang w:val="ar" w:eastAsia="zh-CN"/>
        </w:rPr>
        <w:t>    12.社会保障和就业支出（类）行政事业单位养老支出（款）机关事业单位基本养老保险缴费支出（项）:反映机关事业单位实施养老保险制度由单位缴纳的基本养老保险费支出。</w:t>
      </w:r>
      <w:r>
        <w:br w:type="textWrapping"/>
      </w:r>
      <w:r>
        <w:rPr>
          <w:rFonts w:hint="eastAsia" w:ascii="仿宋" w:hAnsi="仿宋" w:eastAsia="仿宋" w:cs="仿宋"/>
          <w:color w:val="000000"/>
          <w:sz w:val="32"/>
          <w:szCs w:val="32"/>
          <w:lang w:val="ar" w:eastAsia="zh-CN"/>
        </w:rPr>
        <w:t>    13.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br w:type="textWrapping"/>
      </w:r>
      <w:r>
        <w:rPr>
          <w:rFonts w:hint="eastAsia" w:ascii="仿宋" w:hAnsi="仿宋" w:eastAsia="仿宋" w:cs="仿宋"/>
          <w:color w:val="000000"/>
          <w:sz w:val="32"/>
          <w:szCs w:val="32"/>
          <w:lang w:val="ar" w:eastAsia="zh-CN"/>
        </w:rPr>
        <w:t>    14.卫生健康支出（类）行政事业单位医疗（款）事业单位医疗（项）:反映财政部门安排的事业单位基本医疗保险缴费经费，未参加医疗保险的事业单位的公费医疗经费，按国家规定享受离休人员待遇的医疗经费。</w:t>
      </w:r>
      <w:r>
        <w:br w:type="textWrapping"/>
      </w:r>
      <w:r>
        <w:rPr>
          <w:rFonts w:hint="eastAsia" w:ascii="仿宋" w:hAnsi="仿宋" w:eastAsia="仿宋" w:cs="仿宋"/>
          <w:color w:val="000000"/>
          <w:sz w:val="32"/>
          <w:szCs w:val="32"/>
          <w:lang w:val="ar" w:eastAsia="zh-CN"/>
        </w:rPr>
        <w:t>    15.卫生健康支出（类）行政事业单位医疗（款）公务员医疗补助（项）:反映财政部门安排的公务员医疗补助经费。</w:t>
      </w:r>
      <w:r>
        <w:br w:type="textWrapping"/>
      </w:r>
      <w:r>
        <w:rPr>
          <w:rFonts w:hint="eastAsia" w:ascii="仿宋" w:hAnsi="仿宋" w:eastAsia="仿宋" w:cs="仿宋"/>
          <w:color w:val="000000"/>
          <w:sz w:val="32"/>
          <w:szCs w:val="32"/>
          <w:lang w:val="ar" w:eastAsia="zh-CN"/>
        </w:rPr>
        <w:t>    16.住房保障支出（类）住房改革支出（款）住房公积金（项）:反映行政事业单位按人力资源社会保障部、财政部规定的基本工资和津贴补贴以及规定比例为职工缴纳的住房公积金。</w:t>
      </w:r>
    </w:p>
    <w:p w14:paraId="37517F80">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17.基本支出：指为保障机构正常运转、完成日常工作任务而发生的人员支出和公用支出。</w:t>
      </w:r>
    </w:p>
    <w:p w14:paraId="637D6AC2">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 xml:space="preserve">18.项目支出：指在基本支出之外为完成特定行政任务和事业发展目标所发生的支出。 </w:t>
      </w:r>
    </w:p>
    <w:p w14:paraId="50656924">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19.经营支出：指事业单位在专业业务活动及其辅助活动之外开展非独立核算经营活动发生的支出。</w:t>
      </w:r>
    </w:p>
    <w:p w14:paraId="608CA06D">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5F1F77E">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885419">
      <w:pPr>
        <w:pStyle w:val="21"/>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仿宋"/>
          <w:color w:val="000000"/>
          <w:sz w:val="32"/>
          <w:szCs w:val="32"/>
          <w:lang w:val="ar" w:eastAsia="zh-CN"/>
        </w:rPr>
        <w:t>22.财政应返还额度：为行政事业单位会计核算科目，用于核算实行国库集中支付的行政事业单位应收财政返还的资金额度。</w:t>
      </w:r>
    </w:p>
    <w:p w14:paraId="54B8FD8E">
      <w:pPr>
        <w:keepNext w:val="0"/>
        <w:keepLines w:val="0"/>
        <w:widowControl/>
        <w:suppressLineNumbers w:val="0"/>
        <w:jc w:val="left"/>
      </w:pPr>
    </w:p>
    <w:p w14:paraId="17E49308">
      <w:pPr>
        <w:pStyle w:val="21"/>
        <w:keepNext w:val="0"/>
        <w:keepLines w:val="0"/>
        <w:widowControl/>
        <w:suppressLineNumbers w:val="0"/>
        <w:spacing w:before="0" w:beforeAutospacing="1" w:after="0" w:afterAutospacing="1"/>
        <w:ind w:left="0" w:right="0"/>
        <w:jc w:val="center"/>
      </w:pPr>
      <w:r>
        <w:rPr>
          <w:rFonts w:hint="eastAsia" w:ascii="黑体" w:hAnsi="宋体" w:eastAsia="黑体" w:cs="黑体"/>
          <w:b w:val="0"/>
          <w:bCs w:val="0"/>
          <w:sz w:val="44"/>
          <w:szCs w:val="44"/>
          <w:lang w:val="ar" w:eastAsia="zh-CN"/>
        </w:rPr>
        <w:t>第四部分 附件</w:t>
      </w:r>
    </w:p>
    <w:p w14:paraId="114E9CB9">
      <w:pPr>
        <w:pStyle w:val="21"/>
        <w:keepNext w:val="0"/>
        <w:keepLines w:val="0"/>
        <w:widowControl/>
        <w:suppressLineNumbers w:val="0"/>
        <w:spacing w:before="0" w:beforeAutospacing="1" w:after="0" w:afterAutospacing="1" w:line="700" w:lineRule="atLeast"/>
        <w:ind w:left="0" w:right="0"/>
        <w:jc w:val="center"/>
      </w:pPr>
      <w:r>
        <w:rPr>
          <w:rFonts w:ascii="方正小标宋_GBK" w:hAnsi="方正小标宋_GBK" w:eastAsia="方正小标宋_GBK" w:cs="Times New Roman"/>
          <w:color w:val="000000"/>
          <w:sz w:val="44"/>
          <w:szCs w:val="44"/>
          <w:lang w:val="ar" w:eastAsia="zh-CN"/>
        </w:rPr>
        <w:t>武胜县信访局</w:t>
      </w:r>
    </w:p>
    <w:p w14:paraId="1C2C6C1E">
      <w:pPr>
        <w:pStyle w:val="21"/>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Times New Roman"/>
          <w:b w:val="0"/>
          <w:bCs w:val="0"/>
          <w:sz w:val="44"/>
          <w:szCs w:val="44"/>
          <w:shd w:val="clear" w:fill="FFFFFF"/>
          <w:lang w:val="ar" w:eastAsia="zh-CN"/>
        </w:rPr>
        <w:t>部门预算绩效评价报告</w:t>
      </w:r>
    </w:p>
    <w:p w14:paraId="375C67B2">
      <w:pPr>
        <w:pStyle w:val="21"/>
        <w:keepNext w:val="0"/>
        <w:keepLines w:val="0"/>
        <w:widowControl/>
        <w:suppressLineNumbers w:val="0"/>
        <w:spacing w:before="0" w:beforeAutospacing="1" w:after="0" w:afterAutospacing="1" w:line="590" w:lineRule="atLeast"/>
        <w:ind w:left="0" w:right="0" w:firstLine="660"/>
        <w:jc w:val="left"/>
      </w:pPr>
      <w:r>
        <w:rPr>
          <w:rFonts w:ascii="方正黑体_GBK" w:hAnsi="方正黑体_GBK" w:eastAsia="方正黑体_GBK" w:cs="方正黑体_GBK"/>
          <w:color w:val="000000"/>
          <w:sz w:val="33"/>
          <w:szCs w:val="33"/>
          <w:shd w:val="clear" w:fill="FFFFFF"/>
          <w:lang w:val="ar" w:eastAsia="zh-CN"/>
        </w:rPr>
        <w:t>一、部门（单位）基本情况</w:t>
      </w:r>
    </w:p>
    <w:p w14:paraId="708A3A9D">
      <w:pPr>
        <w:pStyle w:val="21"/>
        <w:keepNext w:val="0"/>
        <w:keepLines w:val="0"/>
        <w:widowControl/>
        <w:suppressLineNumbers w:val="0"/>
        <w:spacing w:before="0" w:beforeAutospacing="1" w:after="0" w:afterAutospacing="1" w:line="590" w:lineRule="atLeast"/>
        <w:ind w:left="0" w:right="0" w:firstLine="663"/>
        <w:jc w:val="left"/>
      </w:pPr>
      <w:r>
        <w:rPr>
          <w:rFonts w:ascii="方正楷体_GBK" w:hAnsi="方正楷体_GBK" w:eastAsia="方正楷体_GBK" w:cs="Times New Roman"/>
          <w:b/>
          <w:bCs/>
          <w:color w:val="000000"/>
          <w:sz w:val="33"/>
          <w:szCs w:val="33"/>
          <w:shd w:val="clear" w:fill="FFFFFF"/>
          <w:lang w:val="ar" w:eastAsia="zh-CN"/>
        </w:rPr>
        <w:t>（一）</w:t>
      </w:r>
      <w:r>
        <w:rPr>
          <w:rFonts w:hint="eastAsia" w:ascii="方正楷体_GBK" w:hAnsi="方正楷体_GBK" w:eastAsia="方正楷体_GBK" w:cs="Times New Roman"/>
          <w:b/>
          <w:bCs/>
          <w:color w:val="000000"/>
          <w:sz w:val="33"/>
          <w:szCs w:val="33"/>
          <w:shd w:val="clear" w:fill="FFFFFF"/>
          <w:lang w:val="ar" w:eastAsia="zh-CN"/>
        </w:rPr>
        <w:t>机构组成。</w:t>
      </w:r>
    </w:p>
    <w:p w14:paraId="78ADBB92">
      <w:pPr>
        <w:pStyle w:val="21"/>
        <w:keepNext w:val="0"/>
        <w:keepLines w:val="0"/>
        <w:widowControl/>
        <w:suppressLineNumbers w:val="0"/>
        <w:spacing w:before="0" w:beforeAutospacing="1" w:after="0" w:afterAutospacing="1" w:line="590" w:lineRule="atLeast"/>
        <w:ind w:left="0" w:right="0" w:firstLine="660"/>
        <w:jc w:val="left"/>
      </w:pPr>
      <w:r>
        <w:rPr>
          <w:rFonts w:ascii="方正仿宋_GBK" w:hAnsi="方正仿宋_GBK" w:eastAsia="方正仿宋_GBK" w:cs="仿宋_GB2312"/>
          <w:color w:val="000000"/>
          <w:sz w:val="33"/>
          <w:szCs w:val="33"/>
          <w:shd w:val="clear" w:fill="FFFFFF"/>
          <w:lang w:val="ar" w:eastAsia="zh-CN"/>
        </w:rPr>
        <w:t>武胜县</w:t>
      </w:r>
      <w:r>
        <w:rPr>
          <w:rFonts w:hint="eastAsia" w:ascii="方正仿宋_GBK" w:hAnsi="方正仿宋_GBK" w:eastAsia="方正仿宋_GBK" w:cs="仿宋_GB2312"/>
          <w:color w:val="000000"/>
          <w:sz w:val="33"/>
          <w:szCs w:val="33"/>
          <w:shd w:val="clear" w:fill="FFFFFF"/>
          <w:lang w:val="ar" w:eastAsia="zh-CN"/>
        </w:rPr>
        <w:t>信访局（简称县信访局）是县人民政府工作部门，为正科级，单位内设5个科室，主要包括：办公室、接访股（增挂群众来访接待中心牌子）、网络办信股、督查督办股、复查复核股。</w:t>
      </w:r>
    </w:p>
    <w:p w14:paraId="27564FD4">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（二）机构职能。</w:t>
      </w:r>
    </w:p>
    <w:p w14:paraId="504E2437">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1.</w:t>
      </w:r>
      <w:r>
        <w:rPr>
          <w:rFonts w:hint="eastAsia" w:ascii="方正仿宋_GBK" w:hAnsi="方正仿宋_GBK" w:eastAsia="方正仿宋_GBK" w:cs="Times New Roman"/>
          <w:sz w:val="33"/>
          <w:szCs w:val="33"/>
          <w:lang w:val="ar" w:eastAsia="zh-CN"/>
        </w:rPr>
        <w:t>贯彻执行党和国家关于信访工作的方针、政策、法律、法规以及省委、省政府、市委、市政府和县委、县政府的决策部署；制定信访问题排查化解、风险评估等制度并组织实施，提出改进和加强信访工作的意见和建议，推动信访责任制的实施，负责本系统、本部门依法行政工作。</w:t>
      </w:r>
    </w:p>
    <w:p w14:paraId="76149242">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2.</w:t>
      </w:r>
      <w:r>
        <w:rPr>
          <w:rFonts w:hint="eastAsia" w:ascii="方正仿宋_GBK" w:hAnsi="方正仿宋_GBK" w:eastAsia="方正仿宋_GBK" w:cs="Times New Roman"/>
          <w:sz w:val="33"/>
          <w:szCs w:val="33"/>
          <w:lang w:val="ar" w:eastAsia="zh-CN"/>
        </w:rPr>
        <w:t>负责向县委、县政府反映群众来信来电来访中提出的重要建议、意见和问题，综合研判信访信息，开展调查研究，提出制定修改完善有关法规政策的建议。</w:t>
      </w:r>
    </w:p>
    <w:p w14:paraId="31A3ED75">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3.</w:t>
      </w:r>
      <w:r>
        <w:rPr>
          <w:rFonts w:hint="eastAsia" w:ascii="方正仿宋_GBK" w:hAnsi="方正仿宋_GBK" w:eastAsia="方正仿宋_GBK" w:cs="Times New Roman"/>
          <w:sz w:val="33"/>
          <w:szCs w:val="33"/>
          <w:lang w:val="ar" w:eastAsia="zh-CN"/>
        </w:rPr>
        <w:t>综合协调、督促检查指导全县信访工作，总结推广各地各部门信访工作经验，统筹协调信访工作宣传和信息发布。</w:t>
      </w:r>
    </w:p>
    <w:p w14:paraId="3FECFA5C">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4.</w:t>
      </w:r>
      <w:r>
        <w:rPr>
          <w:rFonts w:hint="eastAsia" w:ascii="方正仿宋_GBK" w:hAnsi="方正仿宋_GBK" w:eastAsia="方正仿宋_GBK" w:cs="Times New Roman"/>
          <w:sz w:val="33"/>
          <w:szCs w:val="33"/>
          <w:lang w:val="ar" w:eastAsia="zh-CN"/>
        </w:rPr>
        <w:t>负责处理县内外群众、境外人士、法人及其他组织通过信访渠道给县委、县政府及领导同志的来信、来电，接待群众来访。</w:t>
      </w:r>
    </w:p>
    <w:p w14:paraId="500F7F34">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5.</w:t>
      </w:r>
      <w:r>
        <w:rPr>
          <w:rFonts w:hint="eastAsia" w:ascii="方正仿宋_GBK" w:hAnsi="方正仿宋_GBK" w:eastAsia="方正仿宋_GBK" w:cs="Times New Roman"/>
          <w:sz w:val="33"/>
          <w:szCs w:val="33"/>
          <w:lang w:val="ar" w:eastAsia="zh-CN"/>
        </w:rPr>
        <w:t>承担协调处理群众进京到省、到广安市委、市政府及武胜县委、县政府集体上访和非接待场所上访的责任；综合协调处理跨地区、跨部门的重要信访问题。</w:t>
      </w:r>
    </w:p>
    <w:p w14:paraId="2AE76A8A">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6.</w:t>
      </w:r>
      <w:r>
        <w:rPr>
          <w:rFonts w:hint="eastAsia" w:ascii="方正仿宋_GBK" w:hAnsi="方正仿宋_GBK" w:eastAsia="方正仿宋_GBK" w:cs="Times New Roman"/>
          <w:sz w:val="33"/>
          <w:szCs w:val="33"/>
          <w:lang w:val="ar" w:eastAsia="zh-CN"/>
        </w:rPr>
        <w:t>负责落实党中央、国务院、省委、省政府、广安市委、广安市政府和武胜县委、武胜县政府领导同志批示交办信访事项，向县级各部门（单位）、各乡镇转办、交办信访事项，负责督促检查重要信访事项的处理和落实。</w:t>
      </w:r>
    </w:p>
    <w:p w14:paraId="78DD2B47">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7.</w:t>
      </w:r>
      <w:r>
        <w:rPr>
          <w:rFonts w:hint="eastAsia" w:ascii="方正仿宋_GBK" w:hAnsi="方正仿宋_GBK" w:eastAsia="方正仿宋_GBK" w:cs="Times New Roman"/>
          <w:sz w:val="33"/>
          <w:szCs w:val="33"/>
          <w:lang w:val="ar" w:eastAsia="zh-CN"/>
        </w:rPr>
        <w:t>建立和完善信访信息汇集分析机制，指导运用好信访信息系统。</w:t>
      </w:r>
    </w:p>
    <w:p w14:paraId="46229D37">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8.</w:t>
      </w:r>
      <w:r>
        <w:rPr>
          <w:rFonts w:hint="eastAsia" w:ascii="方正仿宋_GBK" w:hAnsi="方正仿宋_GBK" w:eastAsia="方正仿宋_GBK" w:cs="Times New Roman"/>
          <w:sz w:val="33"/>
          <w:szCs w:val="33"/>
          <w:lang w:val="ar" w:eastAsia="zh-CN"/>
        </w:rPr>
        <w:t>承担县信访工作联席会议、县政府信访事项复查复核委员会日常工作，督促落实有关事项。</w:t>
      </w:r>
    </w:p>
    <w:p w14:paraId="60B02438">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9.</w:t>
      </w:r>
      <w:r>
        <w:rPr>
          <w:rFonts w:hint="eastAsia" w:ascii="方正仿宋_GBK" w:hAnsi="方正仿宋_GBK" w:eastAsia="方正仿宋_GBK" w:cs="Times New Roman"/>
          <w:sz w:val="33"/>
          <w:szCs w:val="33"/>
          <w:lang w:val="ar" w:eastAsia="zh-CN"/>
        </w:rPr>
        <w:t>负责“共建共治共享”武胜服务平台和政府服务热线管理、县长信箱工作。</w:t>
      </w:r>
    </w:p>
    <w:p w14:paraId="32ACE375">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lang w:val="ar" w:eastAsia="zh-CN"/>
        </w:rPr>
        <w:t>10.</w:t>
      </w:r>
      <w:r>
        <w:rPr>
          <w:rFonts w:hint="eastAsia" w:ascii="方正仿宋_GBK" w:hAnsi="方正仿宋_GBK" w:eastAsia="方正仿宋_GBK" w:cs="Times New Roman"/>
          <w:sz w:val="33"/>
          <w:szCs w:val="33"/>
          <w:lang w:val="ar" w:eastAsia="zh-CN"/>
        </w:rPr>
        <w:t>负责职责范围内的安全生产和职业健康、生态环境保护、审批服务便民化工作。</w:t>
      </w:r>
    </w:p>
    <w:p w14:paraId="361189B3">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Times New Roman"/>
          <w:sz w:val="33"/>
          <w:szCs w:val="33"/>
          <w:lang w:val="ar" w:eastAsia="zh-CN"/>
        </w:rPr>
        <w:t>11.</w:t>
      </w:r>
      <w:r>
        <w:rPr>
          <w:rFonts w:hint="eastAsia" w:ascii="方正仿宋_GBK" w:hAnsi="方正仿宋_GBK" w:eastAsia="方正仿宋_GBK" w:cs="Times New Roman"/>
          <w:sz w:val="33"/>
          <w:szCs w:val="33"/>
          <w:lang w:val="ar" w:eastAsia="zh-CN"/>
        </w:rPr>
        <w:t>完成县委和县政府交办的其他任务。</w:t>
      </w:r>
    </w:p>
    <w:p w14:paraId="1C16F909">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（三）人员概况。</w:t>
      </w:r>
    </w:p>
    <w:p w14:paraId="201C5F9A">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lang w:val="ar" w:eastAsia="zh-CN"/>
        </w:rPr>
        <w:t>县信访局行政编制14名。设局长1名，副局长2名，督查专员2名，机关党委书记1名。2024年末实有在职职工13人，行政工勤人员1人，县人才交流中心派至县信访局3名事业人员，另有外聘人员5人，见习生2人。</w:t>
      </w:r>
    </w:p>
    <w:p w14:paraId="5E7E81C8">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黑体_GBK" w:hAnsi="方正黑体_GBK" w:eastAsia="方正黑体_GBK" w:cs="方正黑体_GBK"/>
          <w:color w:val="000000"/>
          <w:sz w:val="33"/>
          <w:szCs w:val="33"/>
          <w:shd w:val="clear" w:fill="FFFFFF"/>
          <w:lang w:val="ar" w:eastAsia="zh-CN"/>
        </w:rPr>
        <w:t>二、部门资金收支情况</w:t>
      </w:r>
    </w:p>
    <w:p w14:paraId="54584EB0">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（一）收入情况。</w:t>
      </w:r>
    </w:p>
    <w:p w14:paraId="3607938E">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lang w:val="ar" w:eastAsia="zh-CN"/>
        </w:rPr>
        <w:t>根据年初预算，2024年预算安排收入</w:t>
      </w:r>
      <w:r>
        <w:rPr>
          <w:rFonts w:hint="default" w:ascii="Times New Roman" w:hAnsi="Times New Roman" w:eastAsia="方正仿宋_GBK" w:cs="Times New Roman"/>
          <w:sz w:val="33"/>
          <w:szCs w:val="33"/>
          <w:lang w:val="ar" w:eastAsia="zh-CN"/>
        </w:rPr>
        <w:t>380.15</w:t>
      </w:r>
      <w:r>
        <w:rPr>
          <w:rFonts w:hint="eastAsia" w:ascii="方正仿宋_GBK" w:hAnsi="方正仿宋_GBK" w:eastAsia="方正仿宋_GBK" w:cs="Times New Roman"/>
          <w:sz w:val="33"/>
          <w:szCs w:val="33"/>
          <w:lang w:val="ar" w:eastAsia="zh-CN"/>
        </w:rPr>
        <w:t>万元，其中：一般公共预算财政拨款收入</w:t>
      </w:r>
      <w:r>
        <w:rPr>
          <w:rFonts w:hint="default" w:ascii="Times New Roman" w:hAnsi="Times New Roman" w:eastAsia="方正仿宋_GBK" w:cs="Times New Roman"/>
          <w:sz w:val="33"/>
          <w:szCs w:val="33"/>
          <w:lang w:val="ar" w:eastAsia="zh-CN"/>
        </w:rPr>
        <w:t>380.15</w:t>
      </w:r>
      <w:r>
        <w:rPr>
          <w:rFonts w:hint="eastAsia" w:ascii="方正仿宋_GBK" w:hAnsi="方正仿宋_GBK" w:eastAsia="方正仿宋_GBK" w:cs="Times New Roman"/>
          <w:sz w:val="33"/>
          <w:szCs w:val="33"/>
          <w:lang w:val="ar" w:eastAsia="zh-CN"/>
        </w:rPr>
        <w:t>万元。</w:t>
      </w:r>
    </w:p>
    <w:p w14:paraId="19C9A75C">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lang w:val="ar" w:eastAsia="zh-CN"/>
        </w:rPr>
        <w:t>根据决算报表，2024年决算收入为</w:t>
      </w:r>
      <w:r>
        <w:rPr>
          <w:rFonts w:hint="default" w:ascii="Times New Roman" w:hAnsi="Times New Roman" w:eastAsia="方正仿宋_GBK" w:cs="Times New Roman"/>
          <w:sz w:val="33"/>
          <w:szCs w:val="33"/>
          <w:lang w:val="ar" w:eastAsia="zh-CN"/>
        </w:rPr>
        <w:t>427.63</w:t>
      </w:r>
      <w:r>
        <w:rPr>
          <w:rFonts w:hint="eastAsia" w:ascii="方正仿宋_GBK" w:hAnsi="方正仿宋_GBK" w:eastAsia="方正仿宋_GBK" w:cs="Times New Roman"/>
          <w:sz w:val="33"/>
          <w:szCs w:val="33"/>
          <w:lang w:val="ar" w:eastAsia="zh-CN"/>
        </w:rPr>
        <w:t>万元，其中：一般公共预算财政拨款收入</w:t>
      </w:r>
      <w:r>
        <w:rPr>
          <w:rFonts w:hint="default" w:ascii="Times New Roman" w:hAnsi="Times New Roman" w:eastAsia="方正仿宋_GBK" w:cs="Times New Roman"/>
          <w:sz w:val="33"/>
          <w:szCs w:val="33"/>
          <w:lang w:val="ar" w:eastAsia="zh-CN"/>
        </w:rPr>
        <w:t>405.13</w:t>
      </w:r>
      <w:r>
        <w:rPr>
          <w:rFonts w:hint="eastAsia" w:ascii="方正仿宋_GBK" w:hAnsi="方正仿宋_GBK" w:eastAsia="方正仿宋_GBK" w:cs="Times New Roman"/>
          <w:sz w:val="33"/>
          <w:szCs w:val="33"/>
          <w:lang w:val="ar" w:eastAsia="zh-CN"/>
        </w:rPr>
        <w:t>万元，政府性基金预算财政拨款收入</w:t>
      </w:r>
      <w:r>
        <w:rPr>
          <w:rFonts w:hint="default" w:ascii="Times New Roman" w:hAnsi="Times New Roman" w:eastAsia="方正仿宋_GBK" w:cs="Times New Roman"/>
          <w:sz w:val="33"/>
          <w:szCs w:val="33"/>
          <w:lang w:val="ar" w:eastAsia="zh-CN"/>
        </w:rPr>
        <w:t>22.5</w:t>
      </w:r>
      <w:r>
        <w:rPr>
          <w:rFonts w:hint="eastAsia" w:ascii="方正仿宋_GBK" w:hAnsi="方正仿宋_GBK" w:eastAsia="方正仿宋_GBK" w:cs="Times New Roman"/>
          <w:sz w:val="33"/>
          <w:szCs w:val="33"/>
          <w:lang w:val="ar" w:eastAsia="zh-CN"/>
        </w:rPr>
        <w:t>万元。</w:t>
      </w:r>
    </w:p>
    <w:p w14:paraId="2065D31C">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（二）支出情况。</w:t>
      </w:r>
    </w:p>
    <w:p w14:paraId="1D2681BA">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lang w:val="ar" w:eastAsia="zh-CN"/>
        </w:rPr>
        <w:t>根据年初预算，2024年预算安排支出</w:t>
      </w:r>
      <w:r>
        <w:rPr>
          <w:rFonts w:hint="default" w:ascii="Times New Roman" w:hAnsi="Times New Roman" w:eastAsia="方正仿宋_GBK" w:cs="Times New Roman"/>
          <w:sz w:val="33"/>
          <w:szCs w:val="33"/>
          <w:lang w:val="ar" w:eastAsia="zh-CN"/>
        </w:rPr>
        <w:t>380.15</w:t>
      </w:r>
      <w:r>
        <w:rPr>
          <w:rFonts w:hint="eastAsia" w:ascii="方正仿宋_GBK" w:hAnsi="方正仿宋_GBK" w:eastAsia="方正仿宋_GBK" w:cs="Times New Roman"/>
          <w:sz w:val="33"/>
          <w:szCs w:val="33"/>
          <w:lang w:val="ar" w:eastAsia="zh-CN"/>
        </w:rPr>
        <w:t>万元，其中：基本支出</w:t>
      </w:r>
      <w:r>
        <w:rPr>
          <w:rFonts w:hint="default" w:ascii="Times New Roman" w:hAnsi="Times New Roman" w:eastAsia="方正仿宋_GBK" w:cs="Times New Roman"/>
          <w:sz w:val="33"/>
          <w:szCs w:val="33"/>
          <w:lang w:val="ar" w:eastAsia="zh-CN"/>
        </w:rPr>
        <w:t>295.99</w:t>
      </w:r>
      <w:r>
        <w:rPr>
          <w:rFonts w:hint="eastAsia" w:ascii="方正仿宋_GBK" w:hAnsi="方正仿宋_GBK" w:eastAsia="方正仿宋_GBK" w:cs="Times New Roman"/>
          <w:sz w:val="33"/>
          <w:szCs w:val="33"/>
          <w:lang w:val="ar" w:eastAsia="zh-CN"/>
        </w:rPr>
        <w:t>万元，项目支出</w:t>
      </w:r>
      <w:r>
        <w:rPr>
          <w:rFonts w:hint="default" w:ascii="Times New Roman" w:hAnsi="Times New Roman" w:eastAsia="方正仿宋_GBK" w:cs="Times New Roman"/>
          <w:sz w:val="33"/>
          <w:szCs w:val="33"/>
          <w:lang w:val="ar" w:eastAsia="zh-CN"/>
        </w:rPr>
        <w:t>84.16</w:t>
      </w:r>
      <w:r>
        <w:rPr>
          <w:rFonts w:hint="eastAsia" w:ascii="方正仿宋_GBK" w:hAnsi="方正仿宋_GBK" w:eastAsia="方正仿宋_GBK" w:cs="Times New Roman"/>
          <w:sz w:val="33"/>
          <w:szCs w:val="33"/>
          <w:lang w:val="ar" w:eastAsia="zh-CN"/>
        </w:rPr>
        <w:t>万元。</w:t>
      </w:r>
    </w:p>
    <w:p w14:paraId="53E0F276">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lang w:val="ar" w:eastAsia="zh-CN"/>
        </w:rPr>
        <w:t>根据决算报表，2024年全部资金支出</w:t>
      </w:r>
      <w:r>
        <w:rPr>
          <w:rFonts w:hint="default" w:ascii="Times New Roman" w:hAnsi="Times New Roman" w:eastAsia="方正仿宋_GBK" w:cs="Times New Roman"/>
          <w:sz w:val="33"/>
          <w:szCs w:val="33"/>
          <w:lang w:val="ar" w:eastAsia="zh-CN"/>
        </w:rPr>
        <w:t>427.63</w:t>
      </w:r>
      <w:r>
        <w:rPr>
          <w:rFonts w:hint="eastAsia" w:ascii="方正仿宋_GBK" w:hAnsi="方正仿宋_GBK" w:eastAsia="方正仿宋_GBK" w:cs="Times New Roman"/>
          <w:sz w:val="33"/>
          <w:szCs w:val="33"/>
          <w:lang w:val="ar" w:eastAsia="zh-CN"/>
        </w:rPr>
        <w:t>万元，其中：基本支出</w:t>
      </w:r>
      <w:r>
        <w:rPr>
          <w:rFonts w:hint="default" w:ascii="Times New Roman" w:hAnsi="Times New Roman" w:eastAsia="方正仿宋_GBK" w:cs="Times New Roman"/>
          <w:sz w:val="33"/>
          <w:szCs w:val="33"/>
          <w:lang w:val="ar" w:eastAsia="zh-CN"/>
        </w:rPr>
        <w:t>370.97</w:t>
      </w:r>
      <w:r>
        <w:rPr>
          <w:rFonts w:hint="eastAsia" w:ascii="方正仿宋_GBK" w:hAnsi="方正仿宋_GBK" w:eastAsia="方正仿宋_GBK" w:cs="Times New Roman"/>
          <w:sz w:val="33"/>
          <w:szCs w:val="33"/>
          <w:lang w:val="ar" w:eastAsia="zh-CN"/>
        </w:rPr>
        <w:t>万元，项目支出</w:t>
      </w:r>
      <w:r>
        <w:rPr>
          <w:rFonts w:hint="default" w:ascii="Times New Roman" w:hAnsi="Times New Roman" w:eastAsia="方正仿宋_GBK" w:cs="Times New Roman"/>
          <w:sz w:val="33"/>
          <w:szCs w:val="33"/>
          <w:lang w:val="ar" w:eastAsia="zh-CN"/>
        </w:rPr>
        <w:t>56.66</w:t>
      </w:r>
      <w:r>
        <w:rPr>
          <w:rFonts w:hint="eastAsia" w:ascii="方正仿宋_GBK" w:hAnsi="方正仿宋_GBK" w:eastAsia="方正仿宋_GBK" w:cs="Times New Roman"/>
          <w:sz w:val="33"/>
          <w:szCs w:val="33"/>
          <w:lang w:val="ar" w:eastAsia="zh-CN"/>
        </w:rPr>
        <w:t>万元。</w:t>
      </w:r>
    </w:p>
    <w:p w14:paraId="08C3AD3A">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（三）结余分配和结转结余情况。</w:t>
      </w:r>
    </w:p>
    <w:p w14:paraId="346B6C1A">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根据决算报表，2024年资金结转和结余0万元。</w:t>
      </w:r>
    </w:p>
    <w:p w14:paraId="3519032D">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黑体_GBK" w:hAnsi="方正黑体_GBK" w:eastAsia="方正黑体_GBK" w:cs="方正黑体_GBK"/>
          <w:color w:val="000000"/>
          <w:sz w:val="33"/>
          <w:szCs w:val="33"/>
          <w:shd w:val="clear" w:fill="FFFFFF"/>
          <w:lang w:val="ar" w:eastAsia="zh-CN"/>
        </w:rPr>
        <w:t>三、部门预算绩效分析</w:t>
      </w:r>
    </w:p>
    <w:p w14:paraId="440F275F">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（一）部门预算总体绩效分析。</w:t>
      </w:r>
    </w:p>
    <w:p w14:paraId="66C80B8C">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Times New Roman"/>
          <w:b w:val="0"/>
          <w:bCs w:val="0"/>
          <w:color w:val="000000"/>
          <w:sz w:val="33"/>
          <w:szCs w:val="33"/>
          <w:shd w:val="clear" w:fill="FFFFFF"/>
          <w:lang w:val="ar" w:eastAsia="zh-CN"/>
        </w:rPr>
        <w:t>1.</w:t>
      </w:r>
      <w:r>
        <w:rPr>
          <w:rFonts w:hint="eastAsia" w:ascii="方正仿宋_GBK" w:hAnsi="方正仿宋_GBK" w:eastAsia="方正仿宋_GBK" w:cs="Times New Roman"/>
          <w:b w:val="0"/>
          <w:bCs w:val="0"/>
          <w:color w:val="000000"/>
          <w:sz w:val="33"/>
          <w:szCs w:val="33"/>
          <w:shd w:val="clear" w:fill="FFFFFF"/>
          <w:lang w:val="ar" w:eastAsia="zh-CN"/>
        </w:rPr>
        <w:t>履职效能。</w:t>
      </w:r>
    </w:p>
    <w:p w14:paraId="36975DC3">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部门整体绩效目标年初设定：到国家申诉求决类走访人数累计不超过6人次，向国家信访局求决申诉类来信件次累计不超过55件，向国家信访局申诉求决类网上信访件次累计不超过139件次，不发生进京集体访以及到县级以上超过50人集体访，在敏感时间节点不发生大规模聚集或涉访个人极端行为。年终均完成履职效果。</w:t>
      </w:r>
    </w:p>
    <w:p w14:paraId="4B486737">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“履职效能”指标满分15分，得分15分。</w:t>
      </w:r>
    </w:p>
    <w:p w14:paraId="47421D99">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Times New Roman"/>
          <w:b w:val="0"/>
          <w:bCs w:val="0"/>
          <w:color w:val="000000"/>
          <w:sz w:val="33"/>
          <w:szCs w:val="33"/>
          <w:shd w:val="clear" w:fill="FFFFFF"/>
          <w:lang w:val="ar" w:eastAsia="zh-CN"/>
        </w:rPr>
        <w:t>2.</w:t>
      </w:r>
      <w:r>
        <w:rPr>
          <w:rFonts w:hint="eastAsia" w:ascii="方正仿宋_GBK" w:hAnsi="方正仿宋_GBK" w:eastAsia="方正仿宋_GBK" w:cs="Times New Roman"/>
          <w:b w:val="0"/>
          <w:bCs w:val="0"/>
          <w:color w:val="000000"/>
          <w:sz w:val="33"/>
          <w:szCs w:val="33"/>
          <w:shd w:val="clear" w:fill="FFFFFF"/>
          <w:lang w:val="ar" w:eastAsia="zh-CN"/>
        </w:rPr>
        <w:t>预算管理。</w:t>
      </w:r>
    </w:p>
    <w:p w14:paraId="77D800CD">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w:t>
      </w:r>
      <w:r>
        <w:rPr>
          <w:rFonts w:hint="default" w:ascii="Times New Roman" w:hAnsi="Times New Roman" w:eastAsia="方正仿宋_GBK" w:cs="Times New Roman"/>
          <w:b w:val="0"/>
          <w:bCs w:val="0"/>
          <w:color w:val="000000"/>
          <w:sz w:val="33"/>
          <w:szCs w:val="33"/>
          <w:shd w:val="clear" w:fill="FFFFFF"/>
          <w:lang w:val="ar" w:eastAsia="zh-CN"/>
        </w:rPr>
        <w:t>1</w:t>
      </w:r>
      <w:r>
        <w:rPr>
          <w:rFonts w:hint="eastAsia" w:ascii="方正仿宋_GBK" w:hAnsi="方正仿宋_GBK" w:eastAsia="方正仿宋_GBK" w:cs="Times New Roman"/>
          <w:b w:val="0"/>
          <w:bCs w:val="0"/>
          <w:color w:val="000000"/>
          <w:sz w:val="33"/>
          <w:szCs w:val="33"/>
          <w:shd w:val="clear" w:fill="FFFFFF"/>
          <w:lang w:val="ar" w:eastAsia="zh-CN"/>
        </w:rPr>
        <w:t>）预算编制质量（8分）</w:t>
      </w:r>
    </w:p>
    <w:p w14:paraId="591D74C9">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严格根据上年度的预算执行情况和本年度经济发展情况，综合考虑各方面的因素，编制2024年年度预算。年初预算数</w:t>
      </w:r>
      <w:r>
        <w:rPr>
          <w:rFonts w:hint="default" w:ascii="Times New Roman" w:hAnsi="Times New Roman" w:eastAsia="方正仿宋_GBK" w:cs="Times New Roman"/>
          <w:color w:val="000000"/>
          <w:sz w:val="33"/>
          <w:szCs w:val="33"/>
          <w:shd w:val="clear" w:fill="FFFFFF"/>
          <w:lang w:val="ar" w:eastAsia="zh-CN"/>
        </w:rPr>
        <w:t>380.15</w:t>
      </w:r>
      <w:r>
        <w:rPr>
          <w:rFonts w:hint="eastAsia" w:ascii="方正仿宋_GBK" w:hAnsi="方正仿宋_GBK" w:eastAsia="方正仿宋_GBK" w:cs="Times New Roman"/>
          <w:color w:val="000000"/>
          <w:sz w:val="33"/>
          <w:szCs w:val="33"/>
          <w:shd w:val="clear" w:fill="FFFFFF"/>
          <w:lang w:val="ar" w:eastAsia="zh-CN"/>
        </w:rPr>
        <w:t>万元、预算执行数</w:t>
      </w:r>
      <w:r>
        <w:rPr>
          <w:rFonts w:hint="default" w:ascii="Times New Roman" w:hAnsi="Times New Roman" w:eastAsia="方正仿宋_GBK" w:cs="Times New Roman"/>
          <w:color w:val="000000"/>
          <w:sz w:val="33"/>
          <w:szCs w:val="33"/>
          <w:shd w:val="clear" w:fill="FFFFFF"/>
          <w:lang w:val="ar" w:eastAsia="zh-CN"/>
        </w:rPr>
        <w:t>380.15</w:t>
      </w:r>
      <w:r>
        <w:rPr>
          <w:rFonts w:hint="eastAsia" w:ascii="方正仿宋_GBK" w:hAnsi="方正仿宋_GBK" w:eastAsia="方正仿宋_GBK" w:cs="Times New Roman"/>
          <w:color w:val="000000"/>
          <w:sz w:val="33"/>
          <w:szCs w:val="33"/>
          <w:shd w:val="clear" w:fill="FFFFFF"/>
          <w:lang w:val="ar" w:eastAsia="zh-CN"/>
        </w:rPr>
        <w:t>万元、财政拨款偏离度</w:t>
      </w:r>
      <w:r>
        <w:rPr>
          <w:rFonts w:hint="default" w:ascii="Times New Roman" w:hAnsi="Times New Roman" w:eastAsia="方正仿宋_GBK" w:cs="Times New Roman"/>
          <w:color w:val="000000"/>
          <w:sz w:val="33"/>
          <w:szCs w:val="33"/>
          <w:shd w:val="clear" w:fill="FFFFFF"/>
          <w:lang w:val="ar" w:eastAsia="zh-CN"/>
        </w:rPr>
        <w:t>0</w:t>
      </w:r>
      <w:r>
        <w:rPr>
          <w:rFonts w:hint="eastAsia" w:ascii="方正仿宋_GBK" w:hAnsi="方正仿宋_GBK" w:eastAsia="方正仿宋_GBK" w:cs="楷体_GB2312"/>
          <w:color w:val="000000"/>
          <w:sz w:val="33"/>
          <w:szCs w:val="33"/>
          <w:shd w:val="clear" w:fill="FFFFFF"/>
          <w:lang w:val="ar" w:eastAsia="zh-CN"/>
        </w:rPr>
        <w:t>。“</w:t>
      </w:r>
      <w:r>
        <w:rPr>
          <w:rFonts w:hint="eastAsia" w:ascii="方正仿宋_GBK" w:hAnsi="方正仿宋_GBK" w:eastAsia="方正仿宋_GBK" w:cs="Times New Roman"/>
          <w:color w:val="000000"/>
          <w:sz w:val="33"/>
          <w:szCs w:val="33"/>
          <w:shd w:val="clear" w:fill="FFFFFF"/>
          <w:lang w:val="ar" w:eastAsia="zh-CN"/>
        </w:rPr>
        <w:t>预算编制质量</w:t>
      </w:r>
      <w:r>
        <w:rPr>
          <w:rFonts w:hint="eastAsia" w:ascii="方正仿宋_GBK" w:hAnsi="方正仿宋_GBK" w:eastAsia="方正仿宋_GBK" w:cs="楷体_GB2312"/>
          <w:color w:val="000000"/>
          <w:sz w:val="33"/>
          <w:szCs w:val="33"/>
          <w:shd w:val="clear" w:fill="FFFFFF"/>
          <w:lang w:val="ar" w:eastAsia="zh-CN"/>
        </w:rPr>
        <w:t>”指标满分8分，自评得分</w:t>
      </w:r>
      <w:r>
        <w:rPr>
          <w:rFonts w:hint="default" w:ascii="Times New Roman" w:hAnsi="Times New Roman" w:eastAsia="方正仿宋_GBK" w:cs="楷体_GB2312"/>
          <w:color w:val="000000"/>
          <w:sz w:val="33"/>
          <w:szCs w:val="33"/>
          <w:shd w:val="clear" w:fill="FFFFFF"/>
          <w:lang w:val="ar" w:eastAsia="zh-CN"/>
        </w:rPr>
        <w:t>8</w:t>
      </w:r>
      <w:r>
        <w:rPr>
          <w:rFonts w:hint="eastAsia" w:ascii="方正仿宋_GBK" w:hAnsi="方正仿宋_GBK" w:eastAsia="方正仿宋_GBK" w:cs="楷体_GB2312"/>
          <w:color w:val="000000"/>
          <w:sz w:val="33"/>
          <w:szCs w:val="33"/>
          <w:shd w:val="clear" w:fill="FFFFFF"/>
          <w:lang w:val="ar" w:eastAsia="zh-CN"/>
        </w:rPr>
        <w:t>分。</w:t>
      </w:r>
    </w:p>
    <w:p w14:paraId="64461ED2">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w:t>
      </w:r>
      <w:r>
        <w:rPr>
          <w:rFonts w:hint="default" w:ascii="Times New Roman" w:hAnsi="Times New Roman" w:eastAsia="方正仿宋_GBK" w:cs="Times New Roman"/>
          <w:b w:val="0"/>
          <w:bCs w:val="0"/>
          <w:color w:val="000000"/>
          <w:sz w:val="33"/>
          <w:szCs w:val="33"/>
          <w:shd w:val="clear" w:fill="FFFFFF"/>
          <w:lang w:val="ar" w:eastAsia="zh-CN"/>
        </w:rPr>
        <w:t>2</w:t>
      </w:r>
      <w:r>
        <w:rPr>
          <w:rFonts w:hint="eastAsia" w:ascii="方正仿宋_GBK" w:hAnsi="方正仿宋_GBK" w:eastAsia="方正仿宋_GBK" w:cs="Times New Roman"/>
          <w:b w:val="0"/>
          <w:bCs w:val="0"/>
          <w:color w:val="000000"/>
          <w:sz w:val="33"/>
          <w:szCs w:val="33"/>
          <w:shd w:val="clear" w:fill="FFFFFF"/>
          <w:lang w:val="ar" w:eastAsia="zh-CN"/>
        </w:rPr>
        <w:t>）单位收入统筹（4分）</w:t>
      </w:r>
    </w:p>
    <w:p w14:paraId="15F2041F">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本部门未统筹自有收入。</w:t>
      </w:r>
    </w:p>
    <w:p w14:paraId="754A3DF6">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Times New Roman"/>
          <w:b w:val="0"/>
          <w:bCs w:val="0"/>
          <w:color w:val="000000"/>
          <w:sz w:val="33"/>
          <w:szCs w:val="33"/>
          <w:shd w:val="clear" w:fill="FFFFFF"/>
          <w:lang w:val="ar" w:eastAsia="zh-CN"/>
        </w:rPr>
        <w:t>“</w:t>
      </w:r>
      <w:r>
        <w:rPr>
          <w:rFonts w:hint="eastAsia" w:ascii="方正仿宋_GBK" w:hAnsi="方正仿宋_GBK" w:eastAsia="方正仿宋_GBK" w:cs="Times New Roman"/>
          <w:b w:val="0"/>
          <w:bCs w:val="0"/>
          <w:color w:val="000000"/>
          <w:sz w:val="33"/>
          <w:szCs w:val="33"/>
          <w:shd w:val="clear" w:fill="FFFFFF"/>
          <w:lang w:val="ar" w:eastAsia="zh-CN"/>
        </w:rPr>
        <w:t>单位收入统筹”指标满分</w:t>
      </w:r>
      <w:r>
        <w:rPr>
          <w:rFonts w:hint="default" w:ascii="Times New Roman" w:hAnsi="Times New Roman" w:eastAsia="方正仿宋_GBK" w:cs="Times New Roman"/>
          <w:b w:val="0"/>
          <w:bCs w:val="0"/>
          <w:color w:val="000000"/>
          <w:sz w:val="33"/>
          <w:szCs w:val="33"/>
          <w:shd w:val="clear" w:fill="FFFFFF"/>
          <w:lang w:val="ar" w:eastAsia="zh-CN"/>
        </w:rPr>
        <w:t>4</w:t>
      </w:r>
      <w:r>
        <w:rPr>
          <w:rFonts w:hint="eastAsia" w:ascii="方正仿宋_GBK" w:hAnsi="方正仿宋_GBK" w:eastAsia="方正仿宋_GBK" w:cs="Times New Roman"/>
          <w:b w:val="0"/>
          <w:bCs w:val="0"/>
          <w:color w:val="000000"/>
          <w:sz w:val="33"/>
          <w:szCs w:val="33"/>
          <w:shd w:val="clear" w:fill="FFFFFF"/>
          <w:lang w:val="ar" w:eastAsia="zh-CN"/>
        </w:rPr>
        <w:t>分，得分</w:t>
      </w:r>
      <w:r>
        <w:rPr>
          <w:rFonts w:hint="default" w:ascii="Times New Roman" w:hAnsi="Times New Roman" w:eastAsia="方正仿宋_GBK" w:cs="Times New Roman"/>
          <w:b w:val="0"/>
          <w:bCs w:val="0"/>
          <w:color w:val="000000"/>
          <w:sz w:val="33"/>
          <w:szCs w:val="33"/>
          <w:shd w:val="clear" w:fill="FFFFFF"/>
          <w:lang w:val="ar" w:eastAsia="zh-CN"/>
        </w:rPr>
        <w:t>4</w:t>
      </w:r>
      <w:r>
        <w:rPr>
          <w:rFonts w:hint="eastAsia" w:ascii="方正仿宋_GBK" w:hAnsi="方正仿宋_GBK" w:eastAsia="方正仿宋_GBK" w:cs="Times New Roman"/>
          <w:b w:val="0"/>
          <w:bCs w:val="0"/>
          <w:color w:val="000000"/>
          <w:sz w:val="33"/>
          <w:szCs w:val="33"/>
          <w:shd w:val="clear" w:fill="FFFFFF"/>
          <w:lang w:val="ar" w:eastAsia="zh-CN"/>
        </w:rPr>
        <w:t>分。</w:t>
      </w:r>
    </w:p>
    <w:p w14:paraId="0B32B9D8">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（3）支出执行进度（6分）</w:t>
      </w:r>
    </w:p>
    <w:p w14:paraId="56B1E494">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2024年1-6月部门项目预算执行数为28.44万元，2023年1-10月部门项目预算执行数为52.77万元，全年部门项目预算数为56.66万元，无预警金额和支出违规金额。</w:t>
      </w:r>
    </w:p>
    <w:p w14:paraId="7B6A14D4">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指标满分6分，自评得分6分。</w:t>
      </w:r>
    </w:p>
    <w:p w14:paraId="70EFC8E0">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（4）预算年终结余（2分）</w:t>
      </w:r>
    </w:p>
    <w:p w14:paraId="7E08FFB3">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2024年无预算年终结余。</w:t>
      </w:r>
    </w:p>
    <w:p w14:paraId="0BD5AC6F">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Times New Roman"/>
          <w:b w:val="0"/>
          <w:bCs w:val="0"/>
          <w:color w:val="000000"/>
          <w:sz w:val="33"/>
          <w:szCs w:val="33"/>
          <w:shd w:val="clear" w:fill="FFFFFF"/>
          <w:lang w:val="ar" w:eastAsia="zh-CN"/>
        </w:rPr>
        <w:t>“</w:t>
      </w:r>
      <w:r>
        <w:rPr>
          <w:rFonts w:hint="eastAsia" w:ascii="方正仿宋_GBK" w:hAnsi="方正仿宋_GBK" w:eastAsia="方正仿宋_GBK" w:cs="Times New Roman"/>
          <w:b w:val="0"/>
          <w:bCs w:val="0"/>
          <w:color w:val="000000"/>
          <w:sz w:val="33"/>
          <w:szCs w:val="33"/>
          <w:shd w:val="clear" w:fill="FFFFFF"/>
          <w:lang w:val="ar" w:eastAsia="zh-CN"/>
        </w:rPr>
        <w:t>预算年终结余”指标满分</w:t>
      </w:r>
      <w:r>
        <w:rPr>
          <w:rFonts w:hint="default" w:ascii="Times New Roman" w:hAnsi="Times New Roman" w:eastAsia="方正仿宋_GBK" w:cs="Times New Roman"/>
          <w:b w:val="0"/>
          <w:bCs w:val="0"/>
          <w:color w:val="000000"/>
          <w:sz w:val="33"/>
          <w:szCs w:val="33"/>
          <w:shd w:val="clear" w:fill="FFFFFF"/>
          <w:lang w:val="ar" w:eastAsia="zh-CN"/>
        </w:rPr>
        <w:t>2</w:t>
      </w:r>
      <w:r>
        <w:rPr>
          <w:rFonts w:hint="eastAsia" w:ascii="方正仿宋_GBK" w:hAnsi="方正仿宋_GBK" w:eastAsia="方正仿宋_GBK" w:cs="Times New Roman"/>
          <w:b w:val="0"/>
          <w:bCs w:val="0"/>
          <w:color w:val="000000"/>
          <w:sz w:val="33"/>
          <w:szCs w:val="33"/>
          <w:shd w:val="clear" w:fill="FFFFFF"/>
          <w:lang w:val="ar" w:eastAsia="zh-CN"/>
        </w:rPr>
        <w:t>分，得分2分。</w:t>
      </w:r>
    </w:p>
    <w:p w14:paraId="165939F9">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（5）严控一般性支出（5分）。</w:t>
      </w:r>
    </w:p>
    <w:p w14:paraId="0E87B038">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2023年年初预算</w:t>
      </w:r>
      <w:r>
        <w:rPr>
          <w:rFonts w:hint="default" w:ascii="Times New Roman" w:hAnsi="Times New Roman" w:eastAsia="方正仿宋_GBK" w:cs="Times New Roman"/>
          <w:b w:val="0"/>
          <w:bCs w:val="0"/>
          <w:color w:val="000000"/>
          <w:sz w:val="33"/>
          <w:szCs w:val="33"/>
          <w:shd w:val="clear" w:fill="FFFFFF"/>
          <w:lang w:val="ar" w:eastAsia="zh-CN"/>
        </w:rPr>
        <w:t>325.1</w:t>
      </w:r>
      <w:r>
        <w:rPr>
          <w:rFonts w:hint="eastAsia" w:ascii="方正仿宋_GBK" w:hAnsi="方正仿宋_GBK" w:eastAsia="方正仿宋_GBK" w:cs="Times New Roman"/>
          <w:b w:val="0"/>
          <w:bCs w:val="0"/>
          <w:color w:val="000000"/>
          <w:sz w:val="33"/>
          <w:szCs w:val="33"/>
          <w:shd w:val="clear" w:fill="FFFFFF"/>
          <w:lang w:val="ar" w:eastAsia="zh-CN"/>
        </w:rPr>
        <w:t>万元，2024年年初预算</w:t>
      </w:r>
      <w:r>
        <w:rPr>
          <w:rFonts w:hint="default" w:ascii="Times New Roman" w:hAnsi="Times New Roman" w:eastAsia="方正仿宋_GBK" w:cs="Times New Roman"/>
          <w:b w:val="0"/>
          <w:bCs w:val="0"/>
          <w:color w:val="000000"/>
          <w:sz w:val="33"/>
          <w:szCs w:val="33"/>
          <w:shd w:val="clear" w:fill="FFFFFF"/>
          <w:lang w:val="ar" w:eastAsia="zh-CN"/>
        </w:rPr>
        <w:t>380.15</w:t>
      </w:r>
      <w:r>
        <w:rPr>
          <w:rFonts w:hint="eastAsia" w:ascii="方正仿宋_GBK" w:hAnsi="方正仿宋_GBK" w:eastAsia="方正仿宋_GBK" w:cs="Times New Roman"/>
          <w:b w:val="0"/>
          <w:bCs w:val="0"/>
          <w:color w:val="000000"/>
          <w:sz w:val="33"/>
          <w:szCs w:val="33"/>
          <w:shd w:val="clear" w:fill="FFFFFF"/>
          <w:lang w:val="ar" w:eastAsia="zh-CN"/>
        </w:rPr>
        <w:t>万元，未能实现压减；2023年年终决算</w:t>
      </w:r>
      <w:r>
        <w:rPr>
          <w:rFonts w:hint="default" w:ascii="Times New Roman" w:hAnsi="Times New Roman" w:eastAsia="方正仿宋_GBK" w:cs="Times New Roman"/>
          <w:b w:val="0"/>
          <w:bCs w:val="0"/>
          <w:color w:val="000000"/>
          <w:sz w:val="33"/>
          <w:szCs w:val="33"/>
          <w:shd w:val="clear" w:fill="FFFFFF"/>
          <w:lang w:val="ar" w:eastAsia="zh-CN"/>
        </w:rPr>
        <w:t>471.04</w:t>
      </w:r>
      <w:r>
        <w:rPr>
          <w:rFonts w:hint="eastAsia" w:ascii="方正仿宋_GBK" w:hAnsi="方正仿宋_GBK" w:eastAsia="方正仿宋_GBK" w:cs="Times New Roman"/>
          <w:b w:val="0"/>
          <w:bCs w:val="0"/>
          <w:color w:val="000000"/>
          <w:sz w:val="33"/>
          <w:szCs w:val="33"/>
          <w:shd w:val="clear" w:fill="FFFFFF"/>
          <w:lang w:val="ar" w:eastAsia="zh-CN"/>
        </w:rPr>
        <w:t>万元，2024年年终决算</w:t>
      </w:r>
      <w:r>
        <w:rPr>
          <w:rFonts w:hint="default" w:ascii="Times New Roman" w:hAnsi="Times New Roman" w:eastAsia="方正仿宋_GBK" w:cs="Times New Roman"/>
          <w:b w:val="0"/>
          <w:bCs w:val="0"/>
          <w:color w:val="000000"/>
          <w:sz w:val="33"/>
          <w:szCs w:val="33"/>
          <w:shd w:val="clear" w:fill="FFFFFF"/>
          <w:lang w:val="ar" w:eastAsia="zh-CN"/>
        </w:rPr>
        <w:t>427.63</w:t>
      </w:r>
      <w:r>
        <w:rPr>
          <w:rFonts w:hint="eastAsia" w:ascii="方正仿宋_GBK" w:hAnsi="方正仿宋_GBK" w:eastAsia="方正仿宋_GBK" w:cs="Times New Roman"/>
          <w:b w:val="0"/>
          <w:bCs w:val="0"/>
          <w:color w:val="000000"/>
          <w:sz w:val="33"/>
          <w:szCs w:val="33"/>
          <w:shd w:val="clear" w:fill="FFFFFF"/>
          <w:lang w:val="ar" w:eastAsia="zh-CN"/>
        </w:rPr>
        <w:t>万元，实现压减。“严控一般性支出”指标满分5分，自评得分</w:t>
      </w:r>
      <w:r>
        <w:rPr>
          <w:rFonts w:hint="default" w:ascii="Times New Roman" w:hAnsi="Times New Roman" w:eastAsia="方正仿宋_GBK" w:cs="Times New Roman"/>
          <w:b w:val="0"/>
          <w:bCs w:val="0"/>
          <w:color w:val="000000"/>
          <w:sz w:val="33"/>
          <w:szCs w:val="33"/>
          <w:shd w:val="clear" w:fill="FFFFFF"/>
          <w:lang w:val="ar" w:eastAsia="zh-CN"/>
        </w:rPr>
        <w:t>3</w:t>
      </w:r>
      <w:r>
        <w:rPr>
          <w:rFonts w:hint="eastAsia" w:ascii="方正仿宋_GBK" w:hAnsi="方正仿宋_GBK" w:eastAsia="方正仿宋_GBK" w:cs="Times New Roman"/>
          <w:b w:val="0"/>
          <w:bCs w:val="0"/>
          <w:color w:val="000000"/>
          <w:sz w:val="33"/>
          <w:szCs w:val="33"/>
          <w:shd w:val="clear" w:fill="FFFFFF"/>
          <w:lang w:val="ar" w:eastAsia="zh-CN"/>
        </w:rPr>
        <w:t>分。</w:t>
      </w:r>
    </w:p>
    <w:p w14:paraId="29ACB02D">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color w:val="000000"/>
          <w:sz w:val="33"/>
          <w:szCs w:val="33"/>
          <w:shd w:val="clear" w:fill="FFFFFF"/>
          <w:lang w:val="ar" w:eastAsia="zh-CN"/>
        </w:rPr>
        <w:t>“预算管理”指标满分25分，自评得分23分。</w:t>
      </w:r>
    </w:p>
    <w:p w14:paraId="7CB5AA20">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楷体_GB2312"/>
          <w:b w:val="0"/>
          <w:bCs w:val="0"/>
          <w:color w:val="000000"/>
          <w:sz w:val="33"/>
          <w:szCs w:val="33"/>
          <w:shd w:val="clear" w:fill="FFFFFF"/>
          <w:lang w:val="ar" w:eastAsia="zh-CN"/>
        </w:rPr>
        <w:t>3.</w:t>
      </w:r>
      <w:r>
        <w:rPr>
          <w:rFonts w:hint="eastAsia" w:ascii="方正仿宋_GBK" w:hAnsi="方正仿宋_GBK" w:eastAsia="方正仿宋_GBK" w:cs="楷体_GB2312"/>
          <w:b w:val="0"/>
          <w:bCs w:val="0"/>
          <w:color w:val="000000"/>
          <w:sz w:val="33"/>
          <w:szCs w:val="33"/>
          <w:shd w:val="clear" w:fill="FFFFFF"/>
          <w:lang w:val="ar" w:eastAsia="zh-CN"/>
        </w:rPr>
        <w:t>财务管理。</w:t>
      </w:r>
      <w:r>
        <w:rPr>
          <w:rFonts w:hint="eastAsia" w:ascii="方正仿宋_GBK" w:hAnsi="方正仿宋_GBK" w:eastAsia="方正仿宋_GBK" w:cs="Times New Roman"/>
          <w:b w:val="0"/>
          <w:bCs w:val="0"/>
          <w:sz w:val="33"/>
          <w:szCs w:val="33"/>
          <w:lang w:val="ar" w:eastAsia="zh-CN"/>
        </w:rPr>
        <w:t>（10分）</w:t>
      </w:r>
    </w:p>
    <w:p w14:paraId="31AEEEAD">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sz w:val="33"/>
          <w:szCs w:val="33"/>
          <w:lang w:val="ar" w:eastAsia="zh-CN"/>
        </w:rPr>
        <w:t>（1）财务管理制度（4分）。</w:t>
      </w:r>
      <w:r>
        <w:rPr>
          <w:rFonts w:hint="eastAsia" w:ascii="方正仿宋_GBK" w:hAnsi="方正仿宋_GBK" w:eastAsia="方正仿宋_GBK" w:cs="Times New Roman"/>
          <w:color w:val="000000"/>
          <w:sz w:val="33"/>
          <w:szCs w:val="33"/>
          <w:shd w:val="clear" w:fill="FFFFFF"/>
          <w:lang w:val="ar" w:eastAsia="zh-CN"/>
        </w:rPr>
        <w:t>本部门已结合实际制定《县信访局内务管理制度》，</w:t>
      </w:r>
      <w:r>
        <w:rPr>
          <w:rFonts w:hint="eastAsia" w:ascii="方正仿宋_GBK" w:hAnsi="方正仿宋_GBK" w:eastAsia="方正仿宋_GBK" w:cs="Times New Roman"/>
          <w:b w:val="0"/>
          <w:bCs w:val="0"/>
          <w:i w:val="0"/>
          <w:iCs w:val="0"/>
          <w:caps w:val="0"/>
          <w:color w:val="000000"/>
          <w:sz w:val="33"/>
          <w:szCs w:val="33"/>
          <w:lang w:val="ar" w:eastAsia="zh-CN"/>
        </w:rPr>
        <w:t>增收节支，压缩公用经费开支，使机关工作逐步实现规范化、科学化。自评得分4分。</w:t>
      </w:r>
    </w:p>
    <w:p w14:paraId="7F9CAD78">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b w:val="0"/>
          <w:bCs w:val="0"/>
          <w:sz w:val="33"/>
          <w:szCs w:val="33"/>
          <w:lang w:val="ar" w:eastAsia="zh-CN"/>
        </w:rPr>
        <w:t>（2）财务岗位设置（2分）。</w:t>
      </w:r>
      <w:r>
        <w:rPr>
          <w:rFonts w:hint="eastAsia" w:ascii="方正仿宋_GBK" w:hAnsi="方正仿宋_GBK" w:eastAsia="方正仿宋_GBK" w:cs="Times New Roman"/>
          <w:b w:val="0"/>
          <w:bCs w:val="0"/>
          <w:i w:val="0"/>
          <w:iCs w:val="0"/>
          <w:caps w:val="0"/>
          <w:color w:val="000000"/>
          <w:sz w:val="33"/>
          <w:szCs w:val="33"/>
          <w:lang w:val="ar" w:eastAsia="zh-CN"/>
        </w:rPr>
        <w:t>部门合理设置财务工作岗位，明确职责权限，并严格实行不相容岗位分离制度，出纳人员不得兼任稽核、会计档案保管和收入、支出、费用、债权债务账目的登记工作。出纳人员仅负责货币资金业务中收入与支付的工作，除此之外的审批、复核等均不得由出纳人员负责。自评得分2分。</w:t>
      </w:r>
    </w:p>
    <w:p w14:paraId="75BB4DEA">
      <w:pPr>
        <w:pStyle w:val="21"/>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sz w:val="33"/>
          <w:szCs w:val="33"/>
          <w:lang w:val="ar" w:eastAsia="zh-CN"/>
        </w:rPr>
        <w:t>（3）资金使用规范（4分）。部门资金使用严格遵循财务管理制度、内控管理制度等，自评得分4分。</w:t>
      </w:r>
    </w:p>
    <w:p w14:paraId="07FAF444">
      <w:pPr>
        <w:pStyle w:val="21"/>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sz w:val="33"/>
          <w:szCs w:val="33"/>
          <w:lang w:val="ar" w:eastAsia="zh-CN"/>
        </w:rPr>
        <w:t>综上，</w:t>
      </w:r>
      <w:r>
        <w:rPr>
          <w:rFonts w:hint="default" w:ascii="Times New Roman" w:hAnsi="Times New Roman" w:eastAsia="方正仿宋_GBK" w:cs="Times New Roman"/>
          <w:b w:val="0"/>
          <w:bCs w:val="0"/>
          <w:sz w:val="33"/>
          <w:szCs w:val="33"/>
          <w:lang w:val="ar" w:eastAsia="zh-CN"/>
        </w:rPr>
        <w:t>“</w:t>
      </w:r>
      <w:r>
        <w:rPr>
          <w:rFonts w:hint="eastAsia" w:ascii="方正仿宋_GBK" w:hAnsi="方正仿宋_GBK" w:eastAsia="方正仿宋_GBK" w:cs="Times New Roman"/>
          <w:b w:val="0"/>
          <w:bCs w:val="0"/>
          <w:sz w:val="33"/>
          <w:szCs w:val="33"/>
          <w:lang w:val="ar" w:eastAsia="zh-CN"/>
        </w:rPr>
        <w:t>财务管理”指标满分</w:t>
      </w:r>
      <w:r>
        <w:rPr>
          <w:rFonts w:hint="default" w:ascii="Times New Roman" w:hAnsi="Times New Roman" w:eastAsia="方正仿宋_GBK" w:cs="Times New Roman"/>
          <w:b w:val="0"/>
          <w:bCs w:val="0"/>
          <w:sz w:val="33"/>
          <w:szCs w:val="33"/>
          <w:lang w:val="ar" w:eastAsia="zh-CN"/>
        </w:rPr>
        <w:t>10</w:t>
      </w:r>
      <w:r>
        <w:rPr>
          <w:rFonts w:hint="eastAsia" w:ascii="方正仿宋_GBK" w:hAnsi="方正仿宋_GBK" w:eastAsia="方正仿宋_GBK" w:cs="Times New Roman"/>
          <w:b w:val="0"/>
          <w:bCs w:val="0"/>
          <w:sz w:val="33"/>
          <w:szCs w:val="33"/>
          <w:lang w:val="ar" w:eastAsia="zh-CN"/>
        </w:rPr>
        <w:t>分，得分10分。</w:t>
      </w:r>
    </w:p>
    <w:p w14:paraId="24704E93">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楷体_GB2312"/>
          <w:b w:val="0"/>
          <w:bCs w:val="0"/>
          <w:color w:val="000000"/>
          <w:sz w:val="33"/>
          <w:szCs w:val="33"/>
          <w:shd w:val="clear" w:fill="FFFFFF"/>
          <w:lang w:val="ar" w:eastAsia="zh-CN"/>
        </w:rPr>
        <w:t>4.</w:t>
      </w:r>
      <w:r>
        <w:rPr>
          <w:rFonts w:hint="eastAsia" w:ascii="方正仿宋_GBK" w:hAnsi="方正仿宋_GBK" w:eastAsia="方正仿宋_GBK" w:cs="楷体_GB2312"/>
          <w:b w:val="0"/>
          <w:bCs w:val="0"/>
          <w:color w:val="000000"/>
          <w:sz w:val="33"/>
          <w:szCs w:val="33"/>
          <w:shd w:val="clear" w:fill="FFFFFF"/>
          <w:lang w:val="ar" w:eastAsia="zh-CN"/>
        </w:rPr>
        <w:t>资产管理。</w:t>
      </w:r>
      <w:r>
        <w:rPr>
          <w:rFonts w:hint="eastAsia" w:ascii="方正仿宋_GBK" w:hAnsi="方正仿宋_GBK" w:eastAsia="方正仿宋_GBK" w:cs="Times New Roman"/>
          <w:b w:val="0"/>
          <w:bCs w:val="0"/>
          <w:sz w:val="33"/>
          <w:szCs w:val="33"/>
          <w:lang w:val="ar" w:eastAsia="zh-CN"/>
        </w:rPr>
        <w:t>（9分）</w:t>
      </w:r>
    </w:p>
    <w:p w14:paraId="27FE4BF8">
      <w:pPr>
        <w:pStyle w:val="21"/>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sz w:val="33"/>
          <w:szCs w:val="33"/>
          <w:lang w:val="ar" w:eastAsia="zh-CN"/>
        </w:rPr>
        <w:t>（1）人均资产变化率（3分）</w:t>
      </w:r>
      <w:r>
        <w:rPr>
          <w:rFonts w:hint="eastAsia" w:ascii="方正仿宋_GBK" w:hAnsi="方正仿宋_GBK" w:eastAsia="方正仿宋_GBK" w:cs="Times New Roman"/>
          <w:color w:val="000000"/>
          <w:sz w:val="33"/>
          <w:szCs w:val="33"/>
          <w:lang w:val="ar" w:eastAsia="zh-CN"/>
        </w:rPr>
        <w:t>合理设置岗位，明确单位资产管理的岗位职责，确保不相容岗位实现相互分离，落实资产管理主体责任，确保单位内部人员各司其职、各负其责，自评得分3分。</w:t>
      </w:r>
    </w:p>
    <w:p w14:paraId="4FDD24CA">
      <w:pPr>
        <w:pStyle w:val="21"/>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sz w:val="33"/>
          <w:szCs w:val="33"/>
          <w:lang w:val="ar" w:eastAsia="zh-CN"/>
        </w:rPr>
        <w:t>（2）资产利用率（3分）。</w:t>
      </w:r>
      <w:r>
        <w:rPr>
          <w:rFonts w:hint="eastAsia" w:ascii="方正仿宋_GBK" w:hAnsi="方正仿宋_GBK" w:eastAsia="方正仿宋_GBK" w:cs="Times New Roman"/>
          <w:color w:val="000000"/>
          <w:sz w:val="33"/>
          <w:szCs w:val="33"/>
          <w:lang w:val="ar" w:eastAsia="zh-CN"/>
        </w:rPr>
        <w:t>建立单位资产配置标准体系，优化新增资产配置管理流程，进一步规范单位资产配置，并且加大资产调控力度，建立行政事业单位超标准配置、低效运转或者长期闲置资产的调剂机制。自评得分3分。</w:t>
      </w:r>
    </w:p>
    <w:p w14:paraId="30E05402">
      <w:pPr>
        <w:pStyle w:val="21"/>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sz w:val="33"/>
          <w:szCs w:val="33"/>
          <w:lang w:val="ar" w:eastAsia="zh-CN"/>
        </w:rPr>
        <w:t>（3）资产盘活率（3分）。</w:t>
      </w:r>
      <w:r>
        <w:rPr>
          <w:rFonts w:hint="eastAsia" w:ascii="方正仿宋_GBK" w:hAnsi="方正仿宋_GBK" w:eastAsia="方正仿宋_GBK" w:cs="Times New Roman"/>
          <w:color w:val="000000"/>
          <w:sz w:val="33"/>
          <w:szCs w:val="33"/>
          <w:lang w:val="ar" w:eastAsia="zh-CN"/>
        </w:rPr>
        <w:t>提高单位资产使用管理水平，尤其体现投资管理、资产出租出借、资产共享共用等方面，盘活单位资产，提高资产使用效率。自评得分3分。</w:t>
      </w:r>
    </w:p>
    <w:p w14:paraId="6482CBF7">
      <w:pPr>
        <w:pStyle w:val="21"/>
        <w:keepNext w:val="0"/>
        <w:keepLines w:val="0"/>
        <w:widowControl/>
        <w:suppressLineNumbers w:val="0"/>
        <w:spacing w:before="0" w:beforeAutospacing="1" w:after="0" w:afterAutospacing="1" w:line="590" w:lineRule="atLeast"/>
        <w:ind w:left="0" w:right="0" w:firstLine="480"/>
      </w:pPr>
      <w:r>
        <w:rPr>
          <w:rFonts w:hint="eastAsia" w:ascii="方正仿宋_GBK" w:hAnsi="方正仿宋_GBK" w:eastAsia="方正仿宋_GBK" w:cs="Times New Roman"/>
          <w:b w:val="0"/>
          <w:bCs w:val="0"/>
          <w:sz w:val="33"/>
          <w:szCs w:val="33"/>
          <w:lang w:val="ar" w:eastAsia="zh-CN"/>
        </w:rPr>
        <w:t>综上，</w:t>
      </w:r>
      <w:r>
        <w:rPr>
          <w:rFonts w:hint="eastAsia" w:ascii="方正仿宋_GBK" w:hAnsi="方正仿宋_GBK" w:eastAsia="方正仿宋_GBK" w:cs="Times New Roman"/>
          <w:color w:val="000000"/>
          <w:sz w:val="33"/>
          <w:szCs w:val="33"/>
          <w:lang w:val="ar" w:eastAsia="zh-CN"/>
        </w:rPr>
        <w:t>“资产管理”满分9分，自评得9分。</w:t>
      </w:r>
    </w:p>
    <w:p w14:paraId="20BF935E">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楷体_GB2312"/>
          <w:b w:val="0"/>
          <w:bCs w:val="0"/>
          <w:color w:val="000000"/>
          <w:sz w:val="33"/>
          <w:szCs w:val="33"/>
          <w:shd w:val="clear" w:fill="FFFFFF"/>
          <w:lang w:val="ar" w:eastAsia="zh-CN"/>
        </w:rPr>
        <w:t>5.</w:t>
      </w:r>
      <w:r>
        <w:rPr>
          <w:rFonts w:hint="eastAsia" w:ascii="方正仿宋_GBK" w:hAnsi="方正仿宋_GBK" w:eastAsia="方正仿宋_GBK" w:cs="楷体_GB2312"/>
          <w:b w:val="0"/>
          <w:bCs w:val="0"/>
          <w:color w:val="000000"/>
          <w:sz w:val="33"/>
          <w:szCs w:val="33"/>
          <w:shd w:val="clear" w:fill="FFFFFF"/>
          <w:lang w:val="ar" w:eastAsia="zh-CN"/>
        </w:rPr>
        <w:t>采购管理。</w:t>
      </w:r>
    </w:p>
    <w:p w14:paraId="47E5B98A">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部门严格执行政府采购促进中小企业发展相关管理办法，对适宜由中小企业提供的采购项目和采购包，预留采购份额专门面向中小企业采购，并在采购预算中单独列示。“支持中小企业发展”满分3分，自评得分3分。</w:t>
      </w:r>
    </w:p>
    <w:p w14:paraId="30794378">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办公室按照合同约定及时支付采购资金。采购资金属预算内资金的，实行国库集中支付；采购资金属自筹资金的，由单位自行支付。“采购执行率”满分3分，自评得分3分。</w:t>
      </w:r>
    </w:p>
    <w:p w14:paraId="53C726DD">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“采购管理”满分6分，自评得6分。</w:t>
      </w:r>
    </w:p>
    <w:p w14:paraId="6E0A0179">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（二）部门预算项目绩效分析。</w:t>
      </w:r>
    </w:p>
    <w:p w14:paraId="16119D36">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常年项目绩效分析。该类项目总数</w:t>
      </w:r>
      <w:r>
        <w:rPr>
          <w:rFonts w:hint="default" w:ascii="Times New Roman" w:hAnsi="Times New Roman" w:eastAsia="方正仿宋_GBK" w:cs="Times New Roman"/>
          <w:color w:val="000000"/>
          <w:sz w:val="33"/>
          <w:szCs w:val="33"/>
          <w:shd w:val="clear" w:fill="FFFFFF"/>
          <w:lang w:val="ar" w:eastAsia="zh-CN"/>
        </w:rPr>
        <w:t>3</w:t>
      </w:r>
      <w:r>
        <w:rPr>
          <w:rFonts w:hint="eastAsia" w:ascii="方正仿宋_GBK" w:hAnsi="方正仿宋_GBK" w:eastAsia="方正仿宋_GBK" w:cs="Times New Roman"/>
          <w:color w:val="000000"/>
          <w:sz w:val="33"/>
          <w:szCs w:val="33"/>
          <w:shd w:val="clear" w:fill="FFFFFF"/>
          <w:lang w:val="ar" w:eastAsia="zh-CN"/>
        </w:rPr>
        <w:t>个，涉及预算总金额</w:t>
      </w:r>
      <w:r>
        <w:rPr>
          <w:rFonts w:hint="default" w:ascii="Times New Roman" w:hAnsi="Times New Roman" w:eastAsia="方正仿宋_GBK" w:cs="Times New Roman"/>
          <w:color w:val="000000"/>
          <w:sz w:val="33"/>
          <w:szCs w:val="33"/>
          <w:shd w:val="clear" w:fill="FFFFFF"/>
          <w:lang w:val="ar" w:eastAsia="zh-CN"/>
        </w:rPr>
        <w:t>84.15</w:t>
      </w:r>
      <w:r>
        <w:rPr>
          <w:rFonts w:hint="eastAsia" w:ascii="方正仿宋_GBK" w:hAnsi="方正仿宋_GBK" w:eastAsia="方正仿宋_GBK" w:cs="Times New Roman"/>
          <w:color w:val="000000"/>
          <w:sz w:val="33"/>
          <w:szCs w:val="33"/>
          <w:shd w:val="clear" w:fill="FFFFFF"/>
          <w:lang w:val="ar" w:eastAsia="zh-CN"/>
        </w:rPr>
        <w:t>万元，</w:t>
      </w:r>
      <w:r>
        <w:rPr>
          <w:rFonts w:hint="default" w:ascii="Times New Roman" w:hAnsi="Times New Roman" w:eastAsia="方正仿宋_GBK" w:cs="Times New Roman"/>
          <w:color w:val="000000"/>
          <w:sz w:val="33"/>
          <w:szCs w:val="33"/>
          <w:shd w:val="clear" w:fill="FFFFFF"/>
          <w:lang w:val="ar" w:eastAsia="zh-CN"/>
        </w:rPr>
        <w:t>1—12</w:t>
      </w:r>
      <w:r>
        <w:rPr>
          <w:rFonts w:hint="eastAsia" w:ascii="方正仿宋_GBK" w:hAnsi="方正仿宋_GBK" w:eastAsia="方正仿宋_GBK" w:cs="Times New Roman"/>
          <w:color w:val="000000"/>
          <w:sz w:val="33"/>
          <w:szCs w:val="33"/>
          <w:shd w:val="clear" w:fill="FFFFFF"/>
          <w:lang w:val="ar" w:eastAsia="zh-CN"/>
        </w:rPr>
        <w:t>月预算执行总体进度为</w:t>
      </w:r>
      <w:r>
        <w:rPr>
          <w:rFonts w:hint="default" w:ascii="Times New Roman" w:hAnsi="Times New Roman" w:eastAsia="方正仿宋_GBK" w:cs="Times New Roman"/>
          <w:color w:val="000000"/>
          <w:sz w:val="33"/>
          <w:szCs w:val="33"/>
          <w:shd w:val="clear" w:fill="FFFFFF"/>
          <w:lang w:val="ar" w:eastAsia="zh-CN"/>
        </w:rPr>
        <w:t>100</w:t>
      </w:r>
      <w:r>
        <w:rPr>
          <w:rFonts w:hint="eastAsia" w:ascii="方正仿宋_GBK" w:hAnsi="方正仿宋_GBK" w:eastAsia="方正仿宋_GBK" w:cs="Times New Roman"/>
          <w:color w:val="000000"/>
          <w:sz w:val="33"/>
          <w:szCs w:val="33"/>
          <w:shd w:val="clear" w:fill="FFFFFF"/>
          <w:lang w:val="ar" w:eastAsia="zh-CN"/>
        </w:rPr>
        <w:t>%，其中：预算结余率大于</w:t>
      </w:r>
      <w:r>
        <w:rPr>
          <w:rFonts w:hint="default" w:ascii="Times New Roman" w:hAnsi="Times New Roman" w:eastAsia="方正仿宋_GBK" w:cs="Times New Roman"/>
          <w:color w:val="000000"/>
          <w:sz w:val="33"/>
          <w:szCs w:val="33"/>
          <w:shd w:val="clear" w:fill="FFFFFF"/>
          <w:lang w:val="ar" w:eastAsia="zh-CN"/>
        </w:rPr>
        <w:t>10%</w:t>
      </w:r>
      <w:r>
        <w:rPr>
          <w:rFonts w:hint="eastAsia" w:ascii="方正仿宋_GBK" w:hAnsi="方正仿宋_GBK" w:eastAsia="方正仿宋_GBK" w:cs="Times New Roman"/>
          <w:color w:val="000000"/>
          <w:sz w:val="33"/>
          <w:szCs w:val="33"/>
          <w:shd w:val="clear" w:fill="FFFFFF"/>
          <w:lang w:val="ar" w:eastAsia="zh-CN"/>
        </w:rPr>
        <w:t>的项目共计</w:t>
      </w:r>
      <w:r>
        <w:rPr>
          <w:rFonts w:hint="default" w:ascii="Times New Roman" w:hAnsi="Times New Roman" w:eastAsia="方正仿宋_GBK" w:cs="Times New Roman"/>
          <w:color w:val="000000"/>
          <w:sz w:val="33"/>
          <w:szCs w:val="33"/>
          <w:shd w:val="clear" w:fill="FFFFFF"/>
          <w:lang w:val="ar" w:eastAsia="zh-CN"/>
        </w:rPr>
        <w:t>0</w:t>
      </w:r>
      <w:r>
        <w:rPr>
          <w:rFonts w:hint="eastAsia" w:ascii="方正仿宋_GBK" w:hAnsi="方正仿宋_GBK" w:eastAsia="方正仿宋_GBK" w:cs="Times New Roman"/>
          <w:color w:val="000000"/>
          <w:sz w:val="33"/>
          <w:szCs w:val="33"/>
          <w:shd w:val="clear" w:fill="FFFFFF"/>
          <w:lang w:val="ar" w:eastAsia="zh-CN"/>
        </w:rPr>
        <w:t>个。</w:t>
      </w:r>
    </w:p>
    <w:p w14:paraId="5FC51BD7">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楷体_GB2312"/>
          <w:b w:val="0"/>
          <w:bCs w:val="0"/>
          <w:color w:val="000000"/>
          <w:sz w:val="33"/>
          <w:szCs w:val="33"/>
          <w:shd w:val="clear" w:fill="FFFFFF"/>
          <w:lang w:val="ar" w:eastAsia="zh-CN"/>
        </w:rPr>
        <w:t>1.</w:t>
      </w:r>
      <w:r>
        <w:rPr>
          <w:rFonts w:hint="eastAsia" w:ascii="方正仿宋_GBK" w:hAnsi="方正仿宋_GBK" w:eastAsia="方正仿宋_GBK" w:cs="楷体_GB2312"/>
          <w:b w:val="0"/>
          <w:bCs w:val="0"/>
          <w:color w:val="000000"/>
          <w:sz w:val="33"/>
          <w:szCs w:val="33"/>
          <w:shd w:val="clear" w:fill="FFFFFF"/>
          <w:lang w:val="ar" w:eastAsia="zh-CN"/>
        </w:rPr>
        <w:t>项目决策。</w:t>
      </w:r>
    </w:p>
    <w:p w14:paraId="72B501A3">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年度预算项目事前绩效评估工作通过线上与线下相结合方式开展。按照有关规定和工作安排，我单位开展自行评估，通过自行成立方式组建评估组，通过收集被评估项目相关基础资料，并查阅资料、收集数据信息等，深入论证分析后，形成绩效评估报告，根据事前绩效评估报告设立部门预算项目。“决策程序”指标满分4分，自评得分4分。</w:t>
      </w:r>
    </w:p>
    <w:p w14:paraId="4EE07C79">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部门预算项目绩效目标与计划期内的任务量、预算安排的资金量相匹配情况，绩效目标设置科学合理、规范完整、量化细化、预算匹配，“目标设置”指标满分4分，自评得分4分。</w:t>
      </w:r>
    </w:p>
    <w:p w14:paraId="0A90DA1E">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部门预算项目在规定时间完成项目入库，“项目入库”指标满分4分，自评得分4分。</w:t>
      </w:r>
    </w:p>
    <w:p w14:paraId="26E9ABDA">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“项目决策”指标满分12分，自评得分12分。</w:t>
      </w:r>
    </w:p>
    <w:p w14:paraId="2F4A8233">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楷体_GB2312"/>
          <w:b w:val="0"/>
          <w:bCs w:val="0"/>
          <w:color w:val="000000"/>
          <w:sz w:val="33"/>
          <w:szCs w:val="33"/>
          <w:shd w:val="clear" w:fill="FFFFFF"/>
          <w:lang w:val="ar" w:eastAsia="zh-CN"/>
        </w:rPr>
        <w:t>2.项目执行。</w:t>
      </w:r>
    </w:p>
    <w:p w14:paraId="0511B839">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部门预算项目实际列支内容与绩效目标设置方向相符，“执行同向”指标满分4分，自评得分4分；根据资金项目实际执行情况，对部门预算项目采取对应调整措施，增加或减少预算资金，“项目调整”指标满分4分，自评得分4分；</w:t>
      </w:r>
      <w:r>
        <w:rPr>
          <w:rFonts w:hint="eastAsia" w:ascii="方正仿宋_GBK" w:hAnsi="方正仿宋_GBK" w:eastAsia="方正仿宋_GBK" w:cs="Times New Roman"/>
          <w:b w:val="0"/>
          <w:bCs w:val="0"/>
          <w:color w:val="000000"/>
          <w:sz w:val="33"/>
          <w:szCs w:val="33"/>
          <w:shd w:val="clear" w:fill="FFFFFF"/>
          <w:lang w:val="ar" w:eastAsia="zh-CN"/>
        </w:rPr>
        <w:t>2024年资金结转和结余0万元，部门预算项目预算执行均完成，“执行结果”</w:t>
      </w:r>
      <w:r>
        <w:rPr>
          <w:rFonts w:hint="eastAsia" w:ascii="方正仿宋_GBK" w:hAnsi="方正仿宋_GBK" w:eastAsia="方正仿宋_GBK" w:cs="Times New Roman"/>
          <w:color w:val="000000"/>
          <w:sz w:val="33"/>
          <w:szCs w:val="33"/>
          <w:shd w:val="clear" w:fill="FFFFFF"/>
          <w:lang w:val="ar" w:eastAsia="zh-CN"/>
        </w:rPr>
        <w:t>指标满分4分，自评得分4分。</w:t>
      </w:r>
    </w:p>
    <w:p w14:paraId="6724CF4D">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Times New Roman"/>
          <w:b w:val="0"/>
          <w:bCs w:val="0"/>
          <w:color w:val="000000"/>
          <w:sz w:val="33"/>
          <w:szCs w:val="33"/>
          <w:shd w:val="clear" w:fill="FFFFFF"/>
          <w:lang w:val="ar" w:eastAsia="zh-CN"/>
        </w:rPr>
        <w:t>“</w:t>
      </w:r>
      <w:r>
        <w:rPr>
          <w:rFonts w:hint="eastAsia" w:ascii="方正仿宋_GBK" w:hAnsi="方正仿宋_GBK" w:eastAsia="方正仿宋_GBK" w:cs="楷体_GB2312"/>
          <w:b w:val="0"/>
          <w:bCs w:val="0"/>
          <w:color w:val="000000"/>
          <w:sz w:val="33"/>
          <w:szCs w:val="33"/>
          <w:shd w:val="clear" w:fill="FFFFFF"/>
          <w:lang w:val="ar" w:eastAsia="zh-CN"/>
        </w:rPr>
        <w:t>项目执行</w:t>
      </w:r>
      <w:r>
        <w:rPr>
          <w:rFonts w:hint="default" w:ascii="Times New Roman" w:hAnsi="Times New Roman" w:eastAsia="方正仿宋_GBK" w:cs="Times New Roman"/>
          <w:b w:val="0"/>
          <w:bCs w:val="0"/>
          <w:color w:val="000000"/>
          <w:sz w:val="33"/>
          <w:szCs w:val="33"/>
          <w:shd w:val="clear" w:fill="FFFFFF"/>
          <w:lang w:val="ar" w:eastAsia="zh-CN"/>
        </w:rPr>
        <w:t>”</w:t>
      </w:r>
      <w:r>
        <w:rPr>
          <w:rFonts w:hint="eastAsia" w:ascii="方正仿宋_GBK" w:hAnsi="方正仿宋_GBK" w:eastAsia="方正仿宋_GBK" w:cs="Times New Roman"/>
          <w:color w:val="000000"/>
          <w:sz w:val="33"/>
          <w:szCs w:val="33"/>
          <w:shd w:val="clear" w:fill="FFFFFF"/>
          <w:lang w:val="ar" w:eastAsia="zh-CN"/>
        </w:rPr>
        <w:t>指标满分12分，自评得分12分。</w:t>
      </w:r>
    </w:p>
    <w:p w14:paraId="7E9A0C4F">
      <w:pPr>
        <w:pStyle w:val="21"/>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楷体_GB2312"/>
          <w:b w:val="0"/>
          <w:bCs w:val="0"/>
          <w:color w:val="000000"/>
          <w:sz w:val="33"/>
          <w:szCs w:val="33"/>
          <w:shd w:val="clear" w:fill="FFFFFF"/>
          <w:lang w:val="ar" w:eastAsia="zh-CN"/>
        </w:rPr>
        <w:t>3.</w:t>
      </w:r>
      <w:r>
        <w:rPr>
          <w:rFonts w:hint="eastAsia" w:ascii="方正仿宋_GBK" w:hAnsi="方正仿宋_GBK" w:eastAsia="方正仿宋_GBK" w:cs="楷体_GB2312"/>
          <w:b w:val="0"/>
          <w:bCs w:val="0"/>
          <w:color w:val="000000"/>
          <w:sz w:val="33"/>
          <w:szCs w:val="33"/>
          <w:shd w:val="clear" w:fill="FFFFFF"/>
          <w:lang w:val="ar" w:eastAsia="zh-CN"/>
        </w:rPr>
        <w:t>目标实现。</w:t>
      </w:r>
    </w:p>
    <w:p w14:paraId="173E72AD">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楷体_GB2312"/>
          <w:b w:val="0"/>
          <w:bCs w:val="0"/>
          <w:color w:val="000000"/>
          <w:sz w:val="33"/>
          <w:szCs w:val="33"/>
          <w:shd w:val="clear" w:fill="FFFFFF"/>
          <w:lang w:val="ar" w:eastAsia="zh-CN"/>
        </w:rPr>
        <w:t>部门预算项目绩效目标数量指标均完成，</w:t>
      </w:r>
      <w:r>
        <w:rPr>
          <w:rFonts w:hint="eastAsia" w:ascii="方正仿宋_GBK" w:hAnsi="方正仿宋_GBK" w:eastAsia="方正仿宋_GBK" w:cs="Times New Roman"/>
          <w:b w:val="0"/>
          <w:bCs w:val="0"/>
          <w:color w:val="000000"/>
          <w:sz w:val="33"/>
          <w:szCs w:val="33"/>
          <w:shd w:val="clear" w:fill="FFFFFF"/>
          <w:lang w:val="ar" w:eastAsia="zh-CN"/>
        </w:rPr>
        <w:t>“目标完成”</w:t>
      </w:r>
      <w:r>
        <w:rPr>
          <w:rFonts w:hint="eastAsia" w:ascii="方正仿宋_GBK" w:hAnsi="方正仿宋_GBK" w:eastAsia="方正仿宋_GBK" w:cs="Times New Roman"/>
          <w:color w:val="000000"/>
          <w:sz w:val="33"/>
          <w:szCs w:val="33"/>
          <w:shd w:val="clear" w:fill="FFFFFF"/>
          <w:lang w:val="ar" w:eastAsia="zh-CN"/>
        </w:rPr>
        <w:t>指标满分4分，自评得分4分；</w:t>
      </w:r>
      <w:r>
        <w:rPr>
          <w:rFonts w:hint="eastAsia" w:ascii="方正仿宋_GBK" w:hAnsi="方正仿宋_GBK" w:eastAsia="方正仿宋_GBK" w:cs="仿宋_GB2312"/>
          <w:sz w:val="33"/>
          <w:szCs w:val="33"/>
          <w:lang w:val="ar" w:eastAsia="zh-CN"/>
        </w:rPr>
        <w:t>根据对年初整体支出绩效目标实际完成值进行逐一分析，</w:t>
      </w:r>
      <w:r>
        <w:rPr>
          <w:rFonts w:hint="eastAsia" w:ascii="方正仿宋_GBK" w:hAnsi="方正仿宋_GBK" w:eastAsia="方正仿宋_GBK" w:cs="Times New Roman"/>
          <w:color w:val="000000"/>
          <w:sz w:val="33"/>
          <w:szCs w:val="33"/>
          <w:shd w:val="clear" w:fill="FFFFFF"/>
          <w:lang w:val="ar" w:eastAsia="zh-CN"/>
        </w:rPr>
        <w:t>已完成预期指标值的数量指标偏离度在30%内，“目标偏离”指标满分4分，自评得分4分；部门预算项目绩效目标效益指标实施效果均完成，“实现效果”指标满分3分，自评得分3分。</w:t>
      </w:r>
    </w:p>
    <w:p w14:paraId="10203805">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“目标实现”指标满分11分，自评得分11分。</w:t>
      </w:r>
    </w:p>
    <w:p w14:paraId="052E50F8">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（三）重点领域绩效分析。</w:t>
      </w:r>
      <w:r>
        <w:rPr>
          <w:rFonts w:hint="eastAsia" w:ascii="方正仿宋_GBK" w:hAnsi="方正仿宋_GBK" w:eastAsia="方正仿宋_GBK" w:cs="Times New Roman"/>
          <w:sz w:val="33"/>
          <w:szCs w:val="33"/>
          <w:lang w:val="ar" w:eastAsia="zh-CN"/>
        </w:rPr>
        <w:t>本部门2024年度不涉及国有资本、行政事业性国有资产、</w:t>
      </w:r>
      <w:r>
        <w:rPr>
          <w:rFonts w:hint="eastAsia" w:ascii="方正仿宋_GBK" w:hAnsi="方正仿宋_GBK" w:eastAsia="方正仿宋_GBK" w:cs="Times New Roman"/>
          <w:b w:val="0"/>
          <w:bCs w:val="0"/>
          <w:sz w:val="33"/>
          <w:szCs w:val="33"/>
          <w:lang w:val="ar" w:eastAsia="zh-CN"/>
        </w:rPr>
        <w:t>债券资金、政府采购和政府购买服务等重点领域</w:t>
      </w:r>
      <w:r>
        <w:rPr>
          <w:rFonts w:hint="eastAsia" w:ascii="方正仿宋_GBK" w:hAnsi="方正仿宋_GBK" w:eastAsia="方正仿宋_GBK" w:cs="Times New Roman"/>
          <w:sz w:val="33"/>
          <w:szCs w:val="33"/>
          <w:lang w:eastAsia="zh-CN"/>
        </w:rPr>
        <w:t>。</w:t>
      </w:r>
    </w:p>
    <w:p w14:paraId="33404E2A">
      <w:pPr>
        <w:pStyle w:val="21"/>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lang w:val="ar" w:eastAsia="zh-CN"/>
        </w:rPr>
        <w:t>（四）绩效结果应用情况。</w:t>
      </w:r>
    </w:p>
    <w:p w14:paraId="1DBF443D">
      <w:pPr>
        <w:pStyle w:val="21"/>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b w:val="0"/>
          <w:bCs w:val="0"/>
          <w:sz w:val="33"/>
          <w:szCs w:val="33"/>
          <w:lang w:val="ar" w:eastAsia="zh-CN"/>
        </w:rPr>
        <w:t>1.内部应用。信访局严格执行《武胜县县级部门预算绩效自评管理办法》、《绩效目标编报相关问题通报》等系列规定，为进一步推动我单位预算绩效管理深入实施，强化支出责任，持续提升财政资金使用效益。同时将内设机构绩效管理情况纳入内部考核体系，建立了对内设机构预算绩效挂钩机制，且实行与预算挂钩。</w:t>
      </w:r>
    </w:p>
    <w:p w14:paraId="4BCF6243">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b w:val="0"/>
          <w:bCs w:val="0"/>
          <w:sz w:val="33"/>
          <w:szCs w:val="33"/>
          <w:lang w:val="ar" w:eastAsia="zh-CN"/>
        </w:rPr>
        <w:t>2.</w:t>
      </w:r>
      <w:r>
        <w:rPr>
          <w:rFonts w:hint="eastAsia" w:ascii="方正仿宋_GBK" w:hAnsi="方正仿宋_GBK" w:eastAsia="方正仿宋_GBK" w:cs="Times New Roman"/>
          <w:b w:val="0"/>
          <w:bCs w:val="0"/>
          <w:sz w:val="33"/>
          <w:szCs w:val="33"/>
          <w:lang w:val="ar" w:eastAsia="zh-CN"/>
        </w:rPr>
        <w:t>信息公开。信访局按照绩效管理公开要求将相关绩效信息随同预、决算及时在武胜县人民政府网站上进行了专题公开。</w:t>
      </w:r>
    </w:p>
    <w:p w14:paraId="67C9E97E">
      <w:pPr>
        <w:pStyle w:val="21"/>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b w:val="0"/>
          <w:bCs w:val="0"/>
          <w:sz w:val="33"/>
          <w:szCs w:val="33"/>
          <w:lang w:val="ar" w:eastAsia="zh-CN"/>
        </w:rPr>
        <w:t>3.</w:t>
      </w:r>
      <w:r>
        <w:rPr>
          <w:rFonts w:hint="eastAsia" w:ascii="方正仿宋_GBK" w:hAnsi="方正仿宋_GBK" w:eastAsia="方正仿宋_GBK" w:cs="Times New Roman"/>
          <w:b w:val="0"/>
          <w:bCs w:val="0"/>
          <w:sz w:val="33"/>
          <w:szCs w:val="33"/>
          <w:lang w:val="ar" w:eastAsia="zh-CN"/>
        </w:rPr>
        <w:t>问题整改。202</w:t>
      </w:r>
      <w:r>
        <w:rPr>
          <w:rFonts w:hint="default" w:ascii="Times New Roman" w:hAnsi="Times New Roman" w:eastAsia="方正仿宋_GBK" w:cs="Times New Roman"/>
          <w:b w:val="0"/>
          <w:bCs w:val="0"/>
          <w:sz w:val="33"/>
          <w:szCs w:val="33"/>
          <w:lang w:val="ar" w:eastAsia="zh-CN"/>
        </w:rPr>
        <w:t>4</w:t>
      </w:r>
      <w:r>
        <w:rPr>
          <w:rFonts w:hint="eastAsia" w:ascii="方正仿宋_GBK" w:hAnsi="方正仿宋_GBK" w:eastAsia="方正仿宋_GBK" w:cs="Times New Roman"/>
          <w:b w:val="0"/>
          <w:bCs w:val="0"/>
          <w:sz w:val="33"/>
          <w:szCs w:val="33"/>
          <w:lang w:val="ar" w:eastAsia="zh-CN"/>
        </w:rPr>
        <w:t>年，信访局未接受绩效目标核查，针对绩效监控核查、重点绩效评价以及绩效目标编报提出的共性问题及时进行了整改和应用反馈，并做到举一反三。        </w:t>
      </w:r>
    </w:p>
    <w:p w14:paraId="62FE4E52">
      <w:pPr>
        <w:pStyle w:val="21"/>
        <w:keepNext w:val="0"/>
        <w:keepLines w:val="0"/>
        <w:widowControl/>
        <w:suppressLineNumbers w:val="0"/>
        <w:spacing w:before="0" w:beforeAutospacing="1" w:after="0" w:afterAutospacing="1" w:line="590" w:lineRule="atLeast"/>
        <w:ind w:left="0" w:right="0" w:firstLine="660"/>
      </w:pPr>
      <w:r>
        <w:rPr>
          <w:rFonts w:hint="eastAsia" w:ascii="方正黑体_GBK" w:hAnsi="方正黑体_GBK" w:eastAsia="方正黑体_GBK" w:cs="方正黑体_GBK"/>
          <w:color w:val="000000"/>
          <w:sz w:val="33"/>
          <w:szCs w:val="33"/>
          <w:shd w:val="clear" w:fill="FFFFFF"/>
          <w:lang w:val="ar" w:eastAsia="zh-CN"/>
        </w:rPr>
        <w:t>四、评价结论及建议</w:t>
      </w:r>
    </w:p>
    <w:p w14:paraId="2AD952E7">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（一）评价结论。</w:t>
      </w:r>
    </w:p>
    <w:p w14:paraId="506CF13E">
      <w:pPr>
        <w:pStyle w:val="21"/>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lang w:val="ar" w:eastAsia="zh-CN"/>
        </w:rPr>
        <w:t>按照《县级部门预算绩效评价指标体系》设定的绩效指标和计分标准，部门预算绩效评价得分为</w:t>
      </w:r>
      <w:r>
        <w:rPr>
          <w:rFonts w:hint="default" w:ascii="Times New Roman" w:hAnsi="Times New Roman" w:eastAsia="方正仿宋_GBK" w:cs="Times New Roman"/>
          <w:sz w:val="33"/>
          <w:szCs w:val="33"/>
          <w:lang w:val="ar" w:eastAsia="zh-CN"/>
        </w:rPr>
        <w:t>98</w:t>
      </w:r>
      <w:r>
        <w:rPr>
          <w:rFonts w:hint="eastAsia" w:ascii="方正仿宋_GBK" w:hAnsi="方正仿宋_GBK" w:eastAsia="方正仿宋_GBK" w:cs="Times New Roman"/>
          <w:sz w:val="33"/>
          <w:szCs w:val="33"/>
          <w:lang w:val="ar" w:eastAsia="zh-CN"/>
        </w:rPr>
        <w:t>分。</w:t>
      </w:r>
    </w:p>
    <w:p w14:paraId="2AB96517">
      <w:pPr>
        <w:pStyle w:val="21"/>
        <w:keepNext w:val="0"/>
        <w:keepLines w:val="0"/>
        <w:widowControl/>
        <w:suppressLineNumbers w:val="0"/>
        <w:spacing w:before="0" w:beforeAutospacing="1" w:after="0" w:afterAutospacing="1" w:line="500" w:lineRule="atLeast"/>
        <w:ind w:left="0" w:right="0" w:firstLine="1980"/>
      </w:pPr>
      <w:r>
        <w:rPr>
          <w:rFonts w:hint="eastAsia" w:ascii="方正黑体_GBK" w:hAnsi="方正黑体_GBK" w:eastAsia="方正黑体_GBK" w:cs="Times New Roman"/>
          <w:b w:val="0"/>
          <w:bCs w:val="0"/>
          <w:sz w:val="33"/>
          <w:szCs w:val="33"/>
          <w:lang w:val="ar" w:eastAsia="zh-CN"/>
        </w:rPr>
        <w:t>2023年部门预算绩效评价得分表</w:t>
      </w:r>
    </w:p>
    <w:tbl>
      <w:tblPr>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05"/>
        <w:gridCol w:w="2370"/>
        <w:gridCol w:w="2823"/>
        <w:gridCol w:w="911"/>
        <w:gridCol w:w="1014"/>
      </w:tblGrid>
      <w:tr w14:paraId="0672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0" w:hRule="atLeast"/>
        </w:trPr>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7A8AD0">
            <w:pPr>
              <w:pStyle w:val="21"/>
              <w:keepNext w:val="0"/>
              <w:keepLines w:val="0"/>
              <w:widowControl/>
              <w:suppressLineNumbers w:val="0"/>
              <w:spacing w:before="0" w:beforeAutospacing="1" w:after="0" w:afterAutospacing="1" w:line="400" w:lineRule="atLeast"/>
              <w:ind w:left="0" w:right="0"/>
              <w:jc w:val="center"/>
            </w:pPr>
            <w:r>
              <w:rPr>
                <w:rFonts w:hint="eastAsia" w:ascii="方正黑体_GBK" w:hAnsi="方正黑体_GBK" w:eastAsia="方正黑体_GBK" w:cs="方正黑体_GBK"/>
                <w:sz w:val="24"/>
                <w:szCs w:val="24"/>
                <w:lang w:val="ar" w:eastAsia="zh-CN"/>
              </w:rPr>
              <w:t>绩效评价指标</w:t>
            </w:r>
          </w:p>
        </w:tc>
        <w:tc>
          <w:tcPr>
            <w:tcW w:w="625"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FA5AB5">
            <w:pPr>
              <w:pStyle w:val="21"/>
              <w:keepNext w:val="0"/>
              <w:keepLines w:val="0"/>
              <w:widowControl/>
              <w:suppressLineNumbers w:val="0"/>
              <w:spacing w:before="0" w:beforeAutospacing="1" w:after="0" w:afterAutospacing="1" w:line="400" w:lineRule="atLeast"/>
              <w:ind w:left="0" w:right="0"/>
              <w:jc w:val="center"/>
            </w:pPr>
            <w:r>
              <w:rPr>
                <w:rFonts w:hint="eastAsia" w:ascii="方正黑体_GBK" w:hAnsi="方正黑体_GBK" w:eastAsia="方正黑体_GBK" w:cs="方正黑体_GBK"/>
                <w:sz w:val="24"/>
                <w:szCs w:val="24"/>
                <w:lang w:val="ar" w:eastAsia="zh-CN"/>
              </w:rPr>
              <w:t>分值</w:t>
            </w:r>
          </w:p>
        </w:tc>
        <w:tc>
          <w:tcPr>
            <w:tcW w:w="545"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2E287E">
            <w:pPr>
              <w:pStyle w:val="21"/>
              <w:keepNext w:val="0"/>
              <w:keepLines w:val="0"/>
              <w:widowControl/>
              <w:suppressLineNumbers w:val="0"/>
              <w:spacing w:before="0" w:beforeAutospacing="1" w:after="0" w:afterAutospacing="1" w:line="400" w:lineRule="atLeast"/>
              <w:ind w:left="0" w:right="0"/>
              <w:jc w:val="center"/>
            </w:pPr>
            <w:r>
              <w:rPr>
                <w:rFonts w:hint="eastAsia" w:ascii="方正黑体_GBK" w:hAnsi="方正黑体_GBK" w:eastAsia="方正黑体_GBK" w:cs="方正黑体_GBK"/>
                <w:sz w:val="24"/>
                <w:szCs w:val="24"/>
                <w:lang w:val="ar" w:eastAsia="zh-CN"/>
              </w:rPr>
              <w:t>得分</w:t>
            </w:r>
          </w:p>
        </w:tc>
      </w:tr>
      <w:tr w14:paraId="5FB9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 w:hRule="atLeast"/>
        </w:trPr>
        <w:tc>
          <w:tcPr>
            <w:tcW w:w="1283"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7A9D96">
            <w:pPr>
              <w:pStyle w:val="21"/>
              <w:keepNext w:val="0"/>
              <w:keepLines w:val="0"/>
              <w:widowControl/>
              <w:suppressLineNumbers w:val="0"/>
              <w:spacing w:before="0" w:beforeAutospacing="1" w:after="0" w:afterAutospacing="1" w:line="400" w:lineRule="atLeast"/>
              <w:ind w:left="0" w:right="0"/>
              <w:jc w:val="center"/>
            </w:pPr>
            <w:r>
              <w:rPr>
                <w:rFonts w:hint="eastAsia" w:ascii="方正黑体_GBK" w:hAnsi="方正黑体_GBK" w:eastAsia="方正黑体_GBK" w:cs="方正黑体_GBK"/>
                <w:sz w:val="24"/>
                <w:szCs w:val="24"/>
                <w:lang w:val="ar" w:eastAsia="zh-CN"/>
              </w:rPr>
              <w:t>一级指标</w:t>
            </w:r>
          </w:p>
        </w:tc>
        <w:tc>
          <w:tcPr>
            <w:tcW w:w="1626"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42A1D4">
            <w:pPr>
              <w:pStyle w:val="21"/>
              <w:keepNext w:val="0"/>
              <w:keepLines w:val="0"/>
              <w:widowControl/>
              <w:suppressLineNumbers w:val="0"/>
              <w:spacing w:before="0" w:beforeAutospacing="1" w:after="0" w:afterAutospacing="1" w:line="400" w:lineRule="atLeast"/>
              <w:ind w:left="0" w:right="0"/>
              <w:jc w:val="center"/>
            </w:pPr>
            <w:r>
              <w:rPr>
                <w:rFonts w:hint="eastAsia" w:ascii="方正黑体_GBK" w:hAnsi="方正黑体_GBK" w:eastAsia="方正黑体_GBK" w:cs="方正黑体_GBK"/>
                <w:sz w:val="24"/>
                <w:szCs w:val="24"/>
                <w:lang w:val="ar" w:eastAsia="zh-CN"/>
              </w:rPr>
              <w:t>二级指标</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3ACB59">
            <w:pPr>
              <w:pStyle w:val="21"/>
              <w:keepNext w:val="0"/>
              <w:keepLines w:val="0"/>
              <w:widowControl/>
              <w:suppressLineNumbers w:val="0"/>
              <w:spacing w:before="0" w:beforeAutospacing="1" w:after="0" w:afterAutospacing="1" w:line="400" w:lineRule="atLeast"/>
              <w:ind w:left="0" w:right="0"/>
              <w:jc w:val="center"/>
            </w:pPr>
            <w:r>
              <w:rPr>
                <w:rFonts w:hint="eastAsia" w:ascii="方正黑体_GBK" w:hAnsi="方正黑体_GBK" w:eastAsia="方正黑体_GBK" w:cs="方正黑体_GBK"/>
                <w:sz w:val="24"/>
                <w:szCs w:val="24"/>
                <w:lang w:val="ar" w:eastAsia="zh-CN"/>
              </w:rPr>
              <w:t>三级指标</w:t>
            </w:r>
          </w:p>
        </w:tc>
        <w:tc>
          <w:tcPr>
            <w:tcW w:w="625"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790CB8">
            <w:pPr>
              <w:rPr>
                <w:rFonts w:hint="eastAsia" w:ascii="宋体"/>
                <w:sz w:val="24"/>
                <w:szCs w:val="24"/>
              </w:rPr>
            </w:pPr>
          </w:p>
        </w:tc>
        <w:tc>
          <w:tcPr>
            <w:tcW w:w="545"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90F905">
            <w:pPr>
              <w:rPr>
                <w:rFonts w:hint="eastAsia" w:ascii="宋体"/>
                <w:sz w:val="24"/>
                <w:szCs w:val="24"/>
              </w:rPr>
            </w:pPr>
          </w:p>
        </w:tc>
      </w:tr>
      <w:tr w14:paraId="171D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C71A0D">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总体绩效</w:t>
            </w:r>
            <w:r>
              <w:rPr>
                <w:rFonts w:hint="default" w:ascii="Times New Roman" w:hAnsi="Times New Roman" w:eastAsia="方正仿宋_GBK" w:cs="Times New Roman"/>
                <w:sz w:val="24"/>
                <w:szCs w:val="24"/>
                <w:lang w:val="ar" w:eastAsia="zh-CN"/>
              </w:rPr>
              <w:t>    </w:t>
            </w:r>
            <w:r>
              <w:rPr>
                <w:rFonts w:hint="eastAsia" w:ascii="方正仿宋_GBK" w:hAnsi="方正仿宋_GBK" w:eastAsia="方正仿宋_GBK" w:cs="Times New Roman"/>
                <w:sz w:val="24"/>
                <w:szCs w:val="24"/>
                <w:lang w:val="ar" w:eastAsia="zh-CN"/>
              </w:rPr>
              <w:t>（</w:t>
            </w:r>
            <w:r>
              <w:rPr>
                <w:rFonts w:hint="default" w:ascii="Times New Roman" w:hAnsi="Times New Roman" w:eastAsia="方正仿宋_GBK" w:cs="Times New Roman"/>
                <w:sz w:val="24"/>
                <w:szCs w:val="24"/>
                <w:lang w:val="ar" w:eastAsia="zh-CN"/>
              </w:rPr>
              <w:t>65</w:t>
            </w:r>
            <w:r>
              <w:rPr>
                <w:rFonts w:hint="eastAsia" w:ascii="方正仿宋_GBK" w:hAnsi="方正仿宋_GBK" w:eastAsia="方正仿宋_GBK" w:cs="Times New Roman"/>
                <w:sz w:val="24"/>
                <w:szCs w:val="24"/>
                <w:lang w:val="ar" w:eastAsia="zh-CN"/>
              </w:rPr>
              <w:t>分）</w:t>
            </w:r>
          </w:p>
        </w:tc>
        <w:tc>
          <w:tcPr>
            <w:tcW w:w="1626"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18E868">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履职效能（</w:t>
            </w:r>
            <w:r>
              <w:rPr>
                <w:rFonts w:hint="default" w:ascii="Times New Roman" w:hAnsi="Times New Roman" w:eastAsia="方正仿宋_GBK" w:cs="Times New Roman"/>
                <w:sz w:val="24"/>
                <w:szCs w:val="24"/>
                <w:lang w:val="ar" w:eastAsia="zh-CN"/>
              </w:rPr>
              <w:t>15</w:t>
            </w:r>
            <w:r>
              <w:rPr>
                <w:rFonts w:hint="eastAsia" w:ascii="方正仿宋_GBK" w:hAnsi="方正仿宋_GBK" w:eastAsia="方正仿宋_GBK" w:cs="Times New Roman"/>
                <w:sz w:val="24"/>
                <w:szCs w:val="24"/>
                <w:lang w:val="ar" w:eastAsia="zh-CN"/>
              </w:rPr>
              <w:t>分）</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9DA4CB">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履职效果</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4FE7FD">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15</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9E749D">
            <w:pPr>
              <w:pStyle w:val="21"/>
              <w:keepNext w:val="0"/>
              <w:keepLines w:val="0"/>
              <w:widowControl/>
              <w:suppressLineNumbers w:val="0"/>
              <w:spacing w:before="0" w:beforeAutospacing="1" w:after="0" w:afterAutospacing="1" w:line="400" w:lineRule="atLeast"/>
              <w:ind w:left="0" w:right="0" w:firstLine="240"/>
              <w:jc w:val="left"/>
            </w:pPr>
            <w:r>
              <w:rPr>
                <w:rFonts w:hint="default" w:ascii="Times New Roman" w:hAnsi="Times New Roman" w:eastAsia="方正仿宋_GBK" w:cs="Times New Roman"/>
                <w:sz w:val="24"/>
                <w:szCs w:val="24"/>
                <w:lang w:val="ar" w:eastAsia="zh-CN"/>
              </w:rPr>
              <w:t>15</w:t>
            </w:r>
          </w:p>
        </w:tc>
      </w:tr>
      <w:tr w14:paraId="2308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108472">
            <w:pPr>
              <w:rPr>
                <w:rFonts w:hint="eastAsia" w:ascii="宋体"/>
                <w:sz w:val="24"/>
                <w:szCs w:val="24"/>
              </w:rPr>
            </w:pPr>
          </w:p>
        </w:tc>
        <w:tc>
          <w:tcPr>
            <w:tcW w:w="1626"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666B2A">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预算管理（</w:t>
            </w:r>
            <w:r>
              <w:rPr>
                <w:rFonts w:hint="default" w:ascii="Times New Roman" w:hAnsi="Times New Roman" w:eastAsia="方正仿宋_GBK" w:cs="Times New Roman"/>
                <w:sz w:val="24"/>
                <w:szCs w:val="24"/>
                <w:lang w:val="ar" w:eastAsia="zh-CN"/>
              </w:rPr>
              <w:t>25</w:t>
            </w:r>
            <w:r>
              <w:rPr>
                <w:rFonts w:hint="eastAsia" w:ascii="方正仿宋_GBK" w:hAnsi="方正仿宋_GBK" w:eastAsia="方正仿宋_GBK" w:cs="Times New Roman"/>
                <w:sz w:val="24"/>
                <w:szCs w:val="24"/>
                <w:lang w:val="ar" w:eastAsia="zh-CN"/>
              </w:rPr>
              <w:t>分）</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E660C8">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预算编制管理</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250E08">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8</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D0AF1A">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8</w:t>
            </w:r>
          </w:p>
        </w:tc>
      </w:tr>
      <w:tr w14:paraId="0BB5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30B9C0">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9D0BF7">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035A85">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单位收入统筹</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0C4A81">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1BC41B">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0F7F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A8D41D">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E47A8C">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59B968">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支出执行进度</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8E23A3">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6</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55E54C">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6</w:t>
            </w:r>
          </w:p>
        </w:tc>
      </w:tr>
      <w:tr w14:paraId="2020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712FF4">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E83F93">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60F3C5">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预算年终结余</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0436B0">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2</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2D674F">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2</w:t>
            </w:r>
          </w:p>
        </w:tc>
      </w:tr>
      <w:tr w14:paraId="6F08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9C714B">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59C1CD">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4C83B9">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严控一般性支出</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DF44BA">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5</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0F8B16">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r>
      <w:tr w14:paraId="02E6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9476A9">
            <w:pPr>
              <w:rPr>
                <w:rFonts w:hint="eastAsia" w:ascii="宋体"/>
                <w:sz w:val="24"/>
                <w:szCs w:val="24"/>
              </w:rPr>
            </w:pPr>
          </w:p>
        </w:tc>
        <w:tc>
          <w:tcPr>
            <w:tcW w:w="1626"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06FE6A">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财务管理（</w:t>
            </w:r>
            <w:r>
              <w:rPr>
                <w:rFonts w:hint="default" w:ascii="Times New Roman" w:hAnsi="Times New Roman" w:eastAsia="方正仿宋_GBK" w:cs="Times New Roman"/>
                <w:sz w:val="24"/>
                <w:szCs w:val="24"/>
                <w:lang w:val="ar" w:eastAsia="zh-CN"/>
              </w:rPr>
              <w:t>10</w:t>
            </w:r>
            <w:r>
              <w:rPr>
                <w:rFonts w:hint="eastAsia" w:ascii="方正仿宋_GBK" w:hAnsi="方正仿宋_GBK" w:eastAsia="方正仿宋_GBK" w:cs="Times New Roman"/>
                <w:sz w:val="24"/>
                <w:szCs w:val="24"/>
                <w:lang w:val="ar" w:eastAsia="zh-CN"/>
              </w:rPr>
              <w:t>分）</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4D7313">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财务管理制度</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A7396E">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D1E96C">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7BAC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9C365C">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803890">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4978F5">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财务岗位设置</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0B44FB">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2</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006025">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2</w:t>
            </w:r>
          </w:p>
        </w:tc>
      </w:tr>
      <w:tr w14:paraId="3A2A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03771F">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C8925A">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7AF027">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资金使用规范</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239B43">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79B8C5">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37FE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99F5ED">
            <w:pPr>
              <w:rPr>
                <w:rFonts w:hint="eastAsia" w:ascii="宋体"/>
                <w:sz w:val="24"/>
                <w:szCs w:val="24"/>
              </w:rPr>
            </w:pPr>
          </w:p>
        </w:tc>
        <w:tc>
          <w:tcPr>
            <w:tcW w:w="1626"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8F009D">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资产管理（9分）</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A89DB3">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人均资产变化率</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DB2193">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2A0BE3">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r>
      <w:tr w14:paraId="1501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A638CC">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38F7AE">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A0BA41">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资产利用率</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6029D9">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86A721">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r>
      <w:tr w14:paraId="4C40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48CCE4">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E07FD7">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B4C564">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资产盘活率</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EA16D4">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7B1C57">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r>
      <w:tr w14:paraId="6107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C6AEE6">
            <w:pPr>
              <w:rPr>
                <w:rFonts w:hint="eastAsia" w:ascii="宋体"/>
                <w:sz w:val="24"/>
                <w:szCs w:val="24"/>
              </w:rPr>
            </w:pPr>
          </w:p>
        </w:tc>
        <w:tc>
          <w:tcPr>
            <w:tcW w:w="1626"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2C1D11">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采购管理（6分）</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136260">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支持中小企业发展</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E675D8">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00B211">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r>
      <w:tr w14:paraId="5D69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815A67">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88F1C3">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BCEF82">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采购执行率</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C27DC8">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7B5890">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r>
      <w:tr w14:paraId="4777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562B76">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项目绩效    （35分）</w:t>
            </w:r>
          </w:p>
        </w:tc>
        <w:tc>
          <w:tcPr>
            <w:tcW w:w="1626"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DE4DFF">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项目程序（12分）</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5CBDC1">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决策程序</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AF55CA">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0ED35E">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77BD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D79550">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C46788">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96B874">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目标设置</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2CF75E">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B104FD">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7F28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4F2B30">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82AB4C">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1EC043">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项目入库</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0DA880">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57BED3">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4FEC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A1E00B">
            <w:pPr>
              <w:rPr>
                <w:rFonts w:hint="eastAsia" w:ascii="宋体"/>
                <w:sz w:val="24"/>
                <w:szCs w:val="24"/>
              </w:rPr>
            </w:pPr>
          </w:p>
        </w:tc>
        <w:tc>
          <w:tcPr>
            <w:tcW w:w="1626"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82EF01">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项目执行（12分）</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6C3E6C">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执行同向</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5F1343">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FA3FE7">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7775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B5563E">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F80B74">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E00381">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项目调整</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2125B7">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891F67">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17B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0BA392">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15A438">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C8AFF8">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执行结果</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F7F613">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F50C4E">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6D10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85613B">
            <w:pPr>
              <w:rPr>
                <w:rFonts w:hint="eastAsia" w:ascii="宋体"/>
                <w:sz w:val="24"/>
                <w:szCs w:val="24"/>
              </w:rPr>
            </w:pPr>
          </w:p>
        </w:tc>
        <w:tc>
          <w:tcPr>
            <w:tcW w:w="1626"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68D7B2">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目标实现（11分）</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BBA655">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目标完成</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79A699">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80ED6D">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46B9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D8B2C8">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180A50">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68FCED">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目标偏移</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B09450">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DD41CD">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4</w:t>
            </w:r>
          </w:p>
        </w:tc>
      </w:tr>
      <w:tr w14:paraId="4796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3D85F2">
            <w:pPr>
              <w:rPr>
                <w:rFonts w:hint="eastAsia" w:ascii="宋体"/>
                <w:sz w:val="24"/>
                <w:szCs w:val="24"/>
              </w:rPr>
            </w:pPr>
          </w:p>
        </w:tc>
        <w:tc>
          <w:tcPr>
            <w:tcW w:w="1626"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015505">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31DDBE">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实现效果</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33E525">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D05701">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3</w:t>
            </w:r>
          </w:p>
        </w:tc>
      </w:tr>
      <w:tr w14:paraId="0BEA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B4E2D8">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扣分项（</w:t>
            </w:r>
            <w:r>
              <w:rPr>
                <w:rFonts w:hint="default" w:ascii="Times New Roman" w:hAnsi="Times New Roman" w:eastAsia="方正仿宋_GBK" w:cs="Times New Roman"/>
                <w:sz w:val="24"/>
                <w:szCs w:val="24"/>
                <w:lang w:val="ar" w:eastAsia="zh-CN"/>
              </w:rPr>
              <w:t>10</w:t>
            </w:r>
            <w:r>
              <w:rPr>
                <w:rFonts w:hint="eastAsia" w:ascii="方正仿宋_GBK" w:hAnsi="方正仿宋_GBK" w:eastAsia="方正仿宋_GBK" w:cs="Times New Roman"/>
                <w:sz w:val="24"/>
                <w:szCs w:val="24"/>
                <w:lang w:val="ar" w:eastAsia="zh-CN"/>
              </w:rPr>
              <w:t>分）</w:t>
            </w:r>
          </w:p>
        </w:tc>
        <w:tc>
          <w:tcPr>
            <w:tcW w:w="1626"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0CE80C">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预算绩效存在问题</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E9B044">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DF66B5">
            <w:pPr>
              <w:rPr>
                <w:rFonts w:hint="eastAsia" w:ascii="宋体"/>
                <w:sz w:val="24"/>
                <w:szCs w:val="24"/>
              </w:rPr>
            </w:pP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61F743">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0</w:t>
            </w:r>
          </w:p>
        </w:tc>
      </w:tr>
      <w:tr w14:paraId="46D7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C1CE95">
            <w:pPr>
              <w:rPr>
                <w:rFonts w:hint="eastAsia" w:ascii="宋体"/>
                <w:sz w:val="24"/>
                <w:szCs w:val="24"/>
              </w:rPr>
            </w:pPr>
          </w:p>
        </w:tc>
        <w:tc>
          <w:tcPr>
            <w:tcW w:w="1626"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DDF0A4">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被评价部门配合度</w:t>
            </w: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3D899E">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w:t>
            </w: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5C7181">
            <w:pPr>
              <w:rPr>
                <w:rFonts w:hint="eastAsia" w:ascii="宋体"/>
                <w:sz w:val="24"/>
                <w:szCs w:val="24"/>
              </w:rPr>
            </w:pP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7C31E7">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0</w:t>
            </w:r>
          </w:p>
        </w:tc>
      </w:tr>
      <w:tr w14:paraId="667B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0" w:hRule="atLeast"/>
        </w:trPr>
        <w:tc>
          <w:tcPr>
            <w:tcW w:w="1283"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5C990F">
            <w:pPr>
              <w:pStyle w:val="21"/>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lang w:val="ar" w:eastAsia="zh-CN"/>
              </w:rPr>
              <w:t>总分</w:t>
            </w:r>
          </w:p>
        </w:tc>
        <w:tc>
          <w:tcPr>
            <w:tcW w:w="1626"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8BEB6E">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A1238E">
            <w:pPr>
              <w:rPr>
                <w:rFonts w:hint="eastAsia" w:ascii="宋体"/>
                <w:sz w:val="24"/>
                <w:szCs w:val="24"/>
              </w:rPr>
            </w:pPr>
          </w:p>
        </w:tc>
        <w:tc>
          <w:tcPr>
            <w:tcW w:w="62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8E00DD">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100</w:t>
            </w:r>
          </w:p>
        </w:tc>
        <w:tc>
          <w:tcPr>
            <w:tcW w:w="545"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67931D">
            <w:pPr>
              <w:pStyle w:val="21"/>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lang w:val="ar" w:eastAsia="zh-CN"/>
              </w:rPr>
              <w:t>98</w:t>
            </w:r>
          </w:p>
        </w:tc>
      </w:tr>
    </w:tbl>
    <w:p w14:paraId="635BE87C">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（二）存在问题。</w:t>
      </w:r>
    </w:p>
    <w:p w14:paraId="4B9F162F">
      <w:pPr>
        <w:pStyle w:val="21"/>
        <w:keepNext w:val="0"/>
        <w:keepLines w:val="0"/>
        <w:widowControl/>
        <w:suppressLineNumbers w:val="0"/>
        <w:spacing w:before="0" w:beforeAutospacing="1" w:after="0" w:afterAutospacing="1" w:line="590" w:lineRule="atLeast"/>
        <w:ind w:left="0" w:right="0" w:firstLine="626"/>
        <w:jc w:val="left"/>
      </w:pPr>
      <w:r>
        <w:rPr>
          <w:rFonts w:hint="eastAsia" w:ascii="方正仿宋_GBK" w:hAnsi="方正仿宋_GBK" w:eastAsia="方正仿宋_GBK" w:cs="仿宋_GB2312"/>
          <w:b w:val="0"/>
          <w:bCs w:val="0"/>
          <w:w w:val="95"/>
          <w:sz w:val="33"/>
          <w:szCs w:val="33"/>
          <w:lang w:val="ar" w:eastAsia="zh-CN"/>
        </w:rPr>
        <w:t>财务制度执行力有待加强，资金使用计划有待细化。加强预算绩效监管，完善相关预算管理制度，严格执行预算法，加强绩效管理结果的应用，提高群众的满意度。</w:t>
      </w:r>
    </w:p>
    <w:p w14:paraId="068C2AC9">
      <w:pPr>
        <w:pStyle w:val="21"/>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lang w:val="ar" w:eastAsia="zh-CN"/>
        </w:rPr>
        <w:t>（三）改进建议。</w:t>
      </w:r>
    </w:p>
    <w:p w14:paraId="302094FE">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1.强化预算执行。提高年初预算的准确度，减少对预算的调整，最大程度发挥财政资金的效率，加强与上级财政的对接，加快预算项目执行进度。</w:t>
      </w:r>
    </w:p>
    <w:p w14:paraId="4AF2830F">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2.完善绩效目标。进一步完善绩效目标的设置，严格按照绩效目标培训会议要求，细化好四类绩效目标编报，确保可量化、准确性。</w:t>
      </w:r>
    </w:p>
    <w:p w14:paraId="2D847DA5">
      <w:pPr>
        <w:pStyle w:val="21"/>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lang w:val="ar" w:eastAsia="zh-CN"/>
        </w:rPr>
        <w:t>3.加强文件学习。严格按照相关文件执行项目，各业务股室应当加强对相关业务文件的学习，对于文件精神及相关要求应当严格落实。</w:t>
      </w:r>
    </w:p>
    <w:p w14:paraId="5732D5AA">
      <w:pPr>
        <w:keepNext w:val="0"/>
        <w:keepLines w:val="0"/>
        <w:widowControl/>
        <w:suppressLineNumbers w:val="0"/>
        <w:jc w:val="left"/>
      </w:pPr>
    </w:p>
    <w:p w14:paraId="1D4D285E">
      <w:pPr>
        <w:pStyle w:val="21"/>
        <w:keepNext w:val="0"/>
        <w:keepLines w:val="0"/>
        <w:widowControl/>
        <w:suppressLineNumbers w:val="0"/>
        <w:spacing w:before="0" w:beforeAutospacing="1" w:after="0" w:afterAutospacing="1" w:line="600" w:lineRule="atLeast"/>
        <w:ind w:left="0" w:right="0"/>
        <w:jc w:val="center"/>
      </w:pPr>
      <w:r>
        <w:rPr>
          <w:rFonts w:hint="eastAsia" w:ascii="黑体" w:hAnsi="宋体" w:eastAsia="黑体" w:cs="Times New Roman"/>
          <w:b w:val="0"/>
          <w:bCs w:val="0"/>
          <w:color w:val="000000"/>
          <w:sz w:val="44"/>
          <w:szCs w:val="44"/>
          <w:lang w:val="ar" w:eastAsia="zh-CN"/>
        </w:rPr>
        <w:t>第五部分 附表</w:t>
      </w:r>
    </w:p>
    <w:p w14:paraId="580942EE">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一、收入支出决算总表</w:t>
      </w:r>
    </w:p>
    <w:p w14:paraId="3730DA50">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二、收入决算表</w:t>
      </w:r>
    </w:p>
    <w:p w14:paraId="67C0FBF2">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三、支出决算表</w:t>
      </w:r>
    </w:p>
    <w:p w14:paraId="3B9126E5">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四、财政拨款收入</w:t>
      </w:r>
      <w:r>
        <w:rPr>
          <w:rFonts w:hint="eastAsia" w:ascii="仿宋" w:hAnsi="仿宋" w:eastAsia="仿宋" w:cs="仿宋"/>
          <w:b w:val="0"/>
          <w:bCs w:val="0"/>
          <w:color w:val="000000"/>
          <w:sz w:val="32"/>
          <w:szCs w:val="32"/>
          <w:shd w:val="clear" w:fill="FFE5BF"/>
          <w:lang w:val="ar" w:eastAsia="zh-CN"/>
        </w:rPr>
        <w:t>支出</w:t>
      </w:r>
      <w:r>
        <w:rPr>
          <w:rFonts w:hint="eastAsia" w:ascii="仿宋" w:hAnsi="仿宋" w:eastAsia="仿宋" w:cs="仿宋"/>
          <w:b w:val="0"/>
          <w:bCs w:val="0"/>
          <w:color w:val="000000"/>
          <w:sz w:val="32"/>
          <w:szCs w:val="32"/>
          <w:lang w:val="ar" w:eastAsia="zh-CN"/>
        </w:rPr>
        <w:t>决算总表</w:t>
      </w:r>
    </w:p>
    <w:p w14:paraId="44FC5C5C">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五、财政拨款支出决算明细表</w:t>
      </w:r>
    </w:p>
    <w:p w14:paraId="06458F9A">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六、一般公共预算财政拨款支出决算表</w:t>
      </w:r>
    </w:p>
    <w:p w14:paraId="0BF86C3A">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七、一般公共预算财政拨款支出决算明细表</w:t>
      </w:r>
    </w:p>
    <w:p w14:paraId="11AC4B07">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八、一般公共预算财政拨款基本支出决算表</w:t>
      </w:r>
    </w:p>
    <w:p w14:paraId="337FC290">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九、一般公共预算财政拨款项目支出决算表</w:t>
      </w:r>
    </w:p>
    <w:p w14:paraId="2A86BA03">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十、政府性基金预算财政拨款收入支出决算表</w:t>
      </w:r>
    </w:p>
    <w:p w14:paraId="6C6AF541">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十一、国有资本经营预算财政拨款收入支出决算表</w:t>
      </w:r>
    </w:p>
    <w:p w14:paraId="0BE0E351">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十二、国有资本经营预算财政拨款支出决算表</w:t>
      </w:r>
    </w:p>
    <w:p w14:paraId="0952984D">
      <w:pPr>
        <w:pStyle w:val="21"/>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十三、财政拨款“三公”经费支出决算表</w:t>
      </w:r>
    </w:p>
    <w:p w14:paraId="39A925A5">
      <w:pPr>
        <w:pStyle w:val="6"/>
        <w:ind w:firstLine="640" w:firstLineChars="200"/>
        <w:rPr>
          <w:rFonts w:hint="eastAsia" w:ascii="仿宋" w:hAnsi="仿宋" w:eastAsia="仿宋" w:cs="仿宋"/>
          <w:b w:val="0"/>
          <w:bCs/>
          <w:color w:val="000000"/>
        </w:rPr>
      </w:pPr>
      <w:bookmarkStart w:id="0" w:name="_GoBack"/>
      <w:bookmarkEnd w:id="0"/>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F6A6E3-B7EF-4266-AD26-A4B534B947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38733095-50DB-4E93-8988-D4BC938883D2}"/>
  </w:font>
  <w:font w:name="仿宋">
    <w:panose1 w:val="02010609060101010101"/>
    <w:charset w:val="86"/>
    <w:family w:val="modern"/>
    <w:pitch w:val="default"/>
    <w:sig w:usb0="800002BF" w:usb1="38CF7CFA" w:usb2="00000016" w:usb3="00000000" w:csb0="00040001" w:csb1="00000000"/>
    <w:embedRegular r:id="rId3" w:fontKey="{786DB96A-95AD-4C60-B4CB-CE5CA7338444}"/>
  </w:font>
  <w:font w:name="仿宋_GB2312">
    <w:altName w:val="仿宋"/>
    <w:panose1 w:val="00000000000000000000"/>
    <w:charset w:val="86"/>
    <w:family w:val="modern"/>
    <w:pitch w:val="default"/>
    <w:sig w:usb0="00000000" w:usb1="00000000" w:usb2="0000001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63D67F0B-6574-4CBD-AD4E-AACC6D4026EB}"/>
  </w:font>
  <w:font w:name="方正小标宋_GBK">
    <w:panose1 w:val="03000509000000000000"/>
    <w:charset w:val="86"/>
    <w:family w:val="auto"/>
    <w:pitch w:val="default"/>
    <w:sig w:usb0="00000001" w:usb1="080E0000" w:usb2="00000000" w:usb3="00000000" w:csb0="00040000" w:csb1="00000000"/>
    <w:embedRegular r:id="rId5" w:fontKey="{302E0E03-2A3D-484F-868C-42E5DEB8D5C8}"/>
  </w:font>
  <w:font w:name="方正黑体_GBK">
    <w:panose1 w:val="03000509000000000000"/>
    <w:charset w:val="86"/>
    <w:family w:val="auto"/>
    <w:pitch w:val="default"/>
    <w:sig w:usb0="00000001" w:usb1="080E0000" w:usb2="00000000" w:usb3="00000000" w:csb0="00040000" w:csb1="00000000"/>
    <w:embedRegular r:id="rId6" w:fontKey="{2EE982C3-1E66-4340-AAF0-5023736454BC}"/>
  </w:font>
  <w:font w:name="方正楷体_GBK">
    <w:panose1 w:val="03000509000000000000"/>
    <w:charset w:val="86"/>
    <w:family w:val="auto"/>
    <w:pitch w:val="default"/>
    <w:sig w:usb0="00000001" w:usb1="080E0000" w:usb2="00000000" w:usb3="00000000" w:csb0="00040000" w:csb1="00000000"/>
    <w:embedRegular r:id="rId7" w:fontKey="{68F52D57-8497-491D-9003-A1D63F163F97}"/>
  </w:font>
  <w:font w:name="楷体_GB2312">
    <w:altName w:val="楷体"/>
    <w:panose1 w:val="00000000000000000000"/>
    <w:charset w:val="00"/>
    <w:family w:val="auto"/>
    <w:pitch w:val="default"/>
    <w:sig w:usb0="00000000" w:usb1="00000000" w:usb2="00000000" w:usb3="00000000" w:csb0="00000000" w:csb1="00000000"/>
    <w:embedRegular r:id="rId8" w:fontKey="{4601BCF8-6164-44C8-A2AA-99A168DE7565}"/>
  </w:font>
  <w:font w:name="思源黑体 CN Normal">
    <w:altName w:val="黑体"/>
    <w:panose1 w:val="00000000000000000000"/>
    <w:charset w:val="00"/>
    <w:family w:val="auto"/>
    <w:pitch w:val="default"/>
    <w:sig w:usb0="00000000" w:usb1="00000000" w:usb2="00000000" w:usb3="00000000" w:csb0="00000000" w:csb1="00000000"/>
    <w:embedRegular r:id="rId9" w:fontKey="{64975FEB-90F8-4696-BC40-C752742A64AE}"/>
  </w:font>
  <w:font w:name="仿宋_GB2312">
    <w:altName w:val="仿宋"/>
    <w:panose1 w:val="00000000000000000000"/>
    <w:charset w:val="00"/>
    <w:family w:val="auto"/>
    <w:pitch w:val="default"/>
    <w:sig w:usb0="00000000" w:usb1="00000000" w:usb2="00000000" w:usb3="00000000" w:csb0="00000000" w:csb1="00000000"/>
    <w:embedRegular r:id="rId10" w:fontKey="{BBA326ED-2201-42AC-A3EE-6929A3BF12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4"/>
                                <w:jc w:val="center"/>
                              </w:pPr>
                              <w:r>
                                <w:fldChar w:fldCharType="begin"/>
                              </w:r>
                              <w:r>
                                <w:instrText xml:space="preserve">PAGE   \* MERGEFORMAT</w:instrText>
                              </w:r>
                              <w:r>
                                <w:fldChar w:fldCharType="separate"/>
                              </w:r>
                              <w:r>
                                <w:rPr>
                                  <w:lang w:val="zh-CN"/>
                                </w:rPr>
                                <w:t>4</w:t>
                              </w:r>
                              <w:r>
                                <w:fldChar w:fldCharType="end"/>
                              </w:r>
                            </w:p>
                          </w:sdtContent>
                        </w:sdt>
                        <w:p w14:paraId="0D4E28F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4"/>
                          <w:jc w:val="center"/>
                        </w:pPr>
                        <w:r>
                          <w:fldChar w:fldCharType="begin"/>
                        </w:r>
                        <w:r>
                          <w:instrText xml:space="preserve">PAGE   \* MERGEFORMAT</w:instrText>
                        </w:r>
                        <w:r>
                          <w:fldChar w:fldCharType="separate"/>
                        </w:r>
                        <w:r>
                          <w:rPr>
                            <w:lang w:val="zh-CN"/>
                          </w:rPr>
                          <w:t>4</w:t>
                        </w:r>
                        <w:r>
                          <w:fldChar w:fldCharType="end"/>
                        </w:r>
                      </w:p>
                    </w:sdtContent>
                  </w:sdt>
                  <w:p w14:paraId="0D4E28F1">
                    <w:pPr>
                      <w:pStyle w:val="2"/>
                    </w:pPr>
                  </w:p>
                </w:txbxContent>
              </v:textbox>
            </v:shape>
          </w:pict>
        </mc:Fallback>
      </mc:AlternateContent>
    </w:r>
  </w:p>
  <w:p w14:paraId="6AA3FF4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3A3897"/>
    <w:rsid w:val="045647CC"/>
    <w:rsid w:val="0463543B"/>
    <w:rsid w:val="048D6B52"/>
    <w:rsid w:val="04A56E6E"/>
    <w:rsid w:val="04D45254"/>
    <w:rsid w:val="04D550AF"/>
    <w:rsid w:val="051A6F96"/>
    <w:rsid w:val="05C25E8C"/>
    <w:rsid w:val="06951176"/>
    <w:rsid w:val="07001BE1"/>
    <w:rsid w:val="07267DE7"/>
    <w:rsid w:val="088F55D5"/>
    <w:rsid w:val="089C4B49"/>
    <w:rsid w:val="09081517"/>
    <w:rsid w:val="091B747D"/>
    <w:rsid w:val="092E626A"/>
    <w:rsid w:val="09A572B6"/>
    <w:rsid w:val="0A19737C"/>
    <w:rsid w:val="0B7218AA"/>
    <w:rsid w:val="0B99373B"/>
    <w:rsid w:val="0BA37CB5"/>
    <w:rsid w:val="0D0429D6"/>
    <w:rsid w:val="0D093B48"/>
    <w:rsid w:val="0D322E51"/>
    <w:rsid w:val="0D6C338E"/>
    <w:rsid w:val="0DB37F58"/>
    <w:rsid w:val="0DB742A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BC7656"/>
    <w:rsid w:val="17EA348C"/>
    <w:rsid w:val="1840212F"/>
    <w:rsid w:val="184656CF"/>
    <w:rsid w:val="193C261A"/>
    <w:rsid w:val="19934117"/>
    <w:rsid w:val="19943114"/>
    <w:rsid w:val="19DE22C0"/>
    <w:rsid w:val="1AB026BC"/>
    <w:rsid w:val="1ABB32B6"/>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1A94BCD"/>
    <w:rsid w:val="22857975"/>
    <w:rsid w:val="23700C36"/>
    <w:rsid w:val="23844B7E"/>
    <w:rsid w:val="23902475"/>
    <w:rsid w:val="23FA0B3C"/>
    <w:rsid w:val="240371BF"/>
    <w:rsid w:val="2435534E"/>
    <w:rsid w:val="244017F7"/>
    <w:rsid w:val="24534F10"/>
    <w:rsid w:val="24DF6C66"/>
    <w:rsid w:val="253D03DB"/>
    <w:rsid w:val="253F66D1"/>
    <w:rsid w:val="25A20B86"/>
    <w:rsid w:val="25B1070F"/>
    <w:rsid w:val="25BC6564"/>
    <w:rsid w:val="25DD571A"/>
    <w:rsid w:val="265C1D1F"/>
    <w:rsid w:val="26BB36DB"/>
    <w:rsid w:val="271C5A93"/>
    <w:rsid w:val="276F1834"/>
    <w:rsid w:val="27B459F9"/>
    <w:rsid w:val="27C51E91"/>
    <w:rsid w:val="280173B2"/>
    <w:rsid w:val="28513369"/>
    <w:rsid w:val="28BF6D42"/>
    <w:rsid w:val="28C822A0"/>
    <w:rsid w:val="292E058E"/>
    <w:rsid w:val="29FD04D3"/>
    <w:rsid w:val="2C1E1BB4"/>
    <w:rsid w:val="2CAE1BBE"/>
    <w:rsid w:val="2CCF04B2"/>
    <w:rsid w:val="2DF079DB"/>
    <w:rsid w:val="2E4C04E0"/>
    <w:rsid w:val="2E67588F"/>
    <w:rsid w:val="2F803D16"/>
    <w:rsid w:val="2FF22B1D"/>
    <w:rsid w:val="30CB71E3"/>
    <w:rsid w:val="30E36C85"/>
    <w:rsid w:val="31810DA9"/>
    <w:rsid w:val="31903F88"/>
    <w:rsid w:val="319F7F4E"/>
    <w:rsid w:val="31B72CAD"/>
    <w:rsid w:val="32004B5E"/>
    <w:rsid w:val="323A1C2F"/>
    <w:rsid w:val="329448A6"/>
    <w:rsid w:val="32F45598"/>
    <w:rsid w:val="33204932"/>
    <w:rsid w:val="33447C07"/>
    <w:rsid w:val="345D075E"/>
    <w:rsid w:val="35244754"/>
    <w:rsid w:val="361C390A"/>
    <w:rsid w:val="36332B52"/>
    <w:rsid w:val="364D41F6"/>
    <w:rsid w:val="36FD0156"/>
    <w:rsid w:val="38207F4E"/>
    <w:rsid w:val="38F8371D"/>
    <w:rsid w:val="39226F5F"/>
    <w:rsid w:val="39902098"/>
    <w:rsid w:val="39FD5F33"/>
    <w:rsid w:val="3A3A0F35"/>
    <w:rsid w:val="3A4E1148"/>
    <w:rsid w:val="3AF15A98"/>
    <w:rsid w:val="3C8D2F9D"/>
    <w:rsid w:val="3CE0510E"/>
    <w:rsid w:val="3D0E3B71"/>
    <w:rsid w:val="3D1927CA"/>
    <w:rsid w:val="3D1E4B3E"/>
    <w:rsid w:val="3D6F2272"/>
    <w:rsid w:val="3D8344ED"/>
    <w:rsid w:val="3E03620E"/>
    <w:rsid w:val="3E343C22"/>
    <w:rsid w:val="3F512FA9"/>
    <w:rsid w:val="3F7C601F"/>
    <w:rsid w:val="3F9908D4"/>
    <w:rsid w:val="3FAC4683"/>
    <w:rsid w:val="3FEA5DFB"/>
    <w:rsid w:val="40035B02"/>
    <w:rsid w:val="401C35B7"/>
    <w:rsid w:val="40EA7211"/>
    <w:rsid w:val="4119235A"/>
    <w:rsid w:val="41677310"/>
    <w:rsid w:val="422C2C46"/>
    <w:rsid w:val="4251506E"/>
    <w:rsid w:val="42B75819"/>
    <w:rsid w:val="43684120"/>
    <w:rsid w:val="444F07DA"/>
    <w:rsid w:val="44601E28"/>
    <w:rsid w:val="472E4611"/>
    <w:rsid w:val="475E72DC"/>
    <w:rsid w:val="47F514AF"/>
    <w:rsid w:val="4839282C"/>
    <w:rsid w:val="48FD75BD"/>
    <w:rsid w:val="49243056"/>
    <w:rsid w:val="494C4A06"/>
    <w:rsid w:val="4A113668"/>
    <w:rsid w:val="4A277A41"/>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872E29"/>
    <w:rsid w:val="55923320"/>
    <w:rsid w:val="56D0674C"/>
    <w:rsid w:val="57D23F06"/>
    <w:rsid w:val="58BA52C3"/>
    <w:rsid w:val="58BC5D23"/>
    <w:rsid w:val="59177DCC"/>
    <w:rsid w:val="59E040FC"/>
    <w:rsid w:val="59E11CD3"/>
    <w:rsid w:val="5A857BDE"/>
    <w:rsid w:val="5B2A4567"/>
    <w:rsid w:val="5BE202EA"/>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BE686B"/>
    <w:rsid w:val="62F14F12"/>
    <w:rsid w:val="630D013F"/>
    <w:rsid w:val="63347FC4"/>
    <w:rsid w:val="63604CB9"/>
    <w:rsid w:val="64A36D0B"/>
    <w:rsid w:val="64C656C1"/>
    <w:rsid w:val="64F77166"/>
    <w:rsid w:val="65201386"/>
    <w:rsid w:val="657F4183"/>
    <w:rsid w:val="658466A7"/>
    <w:rsid w:val="6596487B"/>
    <w:rsid w:val="65DF63C9"/>
    <w:rsid w:val="65E950BC"/>
    <w:rsid w:val="662A7F2C"/>
    <w:rsid w:val="66627873"/>
    <w:rsid w:val="66D65FFA"/>
    <w:rsid w:val="67C24194"/>
    <w:rsid w:val="67EB36EB"/>
    <w:rsid w:val="68DA2DB6"/>
    <w:rsid w:val="693F42CF"/>
    <w:rsid w:val="69725134"/>
    <w:rsid w:val="6B4666B6"/>
    <w:rsid w:val="6BB306BC"/>
    <w:rsid w:val="6CC85DA9"/>
    <w:rsid w:val="6D2A5F93"/>
    <w:rsid w:val="6D8F2D6B"/>
    <w:rsid w:val="6DB91990"/>
    <w:rsid w:val="6DC31436"/>
    <w:rsid w:val="6E6F4E2B"/>
    <w:rsid w:val="6ECB49CF"/>
    <w:rsid w:val="6ECB5A2B"/>
    <w:rsid w:val="6F4D197C"/>
    <w:rsid w:val="6F806E0F"/>
    <w:rsid w:val="70202A42"/>
    <w:rsid w:val="70ED3F4C"/>
    <w:rsid w:val="72227D09"/>
    <w:rsid w:val="72E476B5"/>
    <w:rsid w:val="72F22338"/>
    <w:rsid w:val="73327580"/>
    <w:rsid w:val="733572FD"/>
    <w:rsid w:val="73BE3A62"/>
    <w:rsid w:val="746C7E4B"/>
    <w:rsid w:val="750E6C6B"/>
    <w:rsid w:val="755E374E"/>
    <w:rsid w:val="75884CEA"/>
    <w:rsid w:val="75B310E7"/>
    <w:rsid w:val="75B318F4"/>
    <w:rsid w:val="75F61299"/>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42"/>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spacing w:line="590" w:lineRule="exact"/>
      <w:ind w:firstLine="420" w:firstLineChars="200"/>
    </w:pPr>
    <w:rPr>
      <w:rFonts w:ascii="Times New Roman" w:hAnsi="Times New Roman" w:eastAsia="方正仿宋_GBK"/>
      <w:sz w:val="33"/>
    </w:rPr>
  </w:style>
  <w:style w:type="paragraph" w:styleId="4">
    <w:name w:val="Body Text Indent"/>
    <w:basedOn w:val="1"/>
    <w:next w:val="3"/>
    <w:qFormat/>
    <w:uiPriority w:val="0"/>
    <w:pPr>
      <w:spacing w:line="540" w:lineRule="exact"/>
      <w:ind w:firstLine="5440" w:firstLineChars="1700"/>
    </w:pPr>
    <w:rPr>
      <w:szCs w:val="32"/>
    </w:rPr>
  </w:style>
  <w:style w:type="paragraph" w:styleId="8">
    <w:name w:val="Normal Indent"/>
    <w:basedOn w:val="1"/>
    <w:unhideWhenUsed/>
    <w:qFormat/>
    <w:uiPriority w:val="99"/>
    <w:pPr>
      <w:ind w:firstLine="680"/>
    </w:pPr>
  </w:style>
  <w:style w:type="paragraph" w:styleId="9">
    <w:name w:val="annotation text"/>
    <w:basedOn w:val="1"/>
    <w:semiHidden/>
    <w:unhideWhenUsed/>
    <w:qFormat/>
    <w:uiPriority w:val="99"/>
    <w:pPr>
      <w:jc w:val="left"/>
    </w:pPr>
  </w:style>
  <w:style w:type="paragraph" w:styleId="10">
    <w:name w:val="Body Text"/>
    <w:basedOn w:val="1"/>
    <w:link w:val="36"/>
    <w:qFormat/>
    <w:uiPriority w:val="0"/>
    <w:pPr>
      <w:spacing w:after="120" w:afterLines="0" w:afterAutospacing="0"/>
    </w:pPr>
  </w:style>
  <w:style w:type="paragraph" w:styleId="11">
    <w:name w:val="toc 3"/>
    <w:basedOn w:val="1"/>
    <w:next w:val="1"/>
    <w:unhideWhenUsed/>
    <w:qFormat/>
    <w:uiPriority w:val="39"/>
    <w:pPr>
      <w:tabs>
        <w:tab w:val="right" w:leader="dot" w:pos="8296"/>
      </w:tabs>
      <w:ind w:left="840" w:leftChars="400"/>
    </w:pPr>
  </w:style>
  <w:style w:type="paragraph" w:styleId="12">
    <w:name w:val="Date"/>
    <w:basedOn w:val="1"/>
    <w:next w:val="1"/>
    <w:qFormat/>
    <w:uiPriority w:val="0"/>
    <w:pPr>
      <w:ind w:left="100" w:leftChars="2500"/>
    </w:pPr>
  </w:style>
  <w:style w:type="paragraph" w:styleId="13">
    <w:name w:val="Balloon Text"/>
    <w:basedOn w:val="1"/>
    <w:link w:val="41"/>
    <w:semiHidden/>
    <w:qFormat/>
    <w:uiPriority w:val="0"/>
    <w:rPr>
      <w:sz w:val="18"/>
      <w:szCs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able of figures"/>
    <w:basedOn w:val="1"/>
    <w:next w:val="1"/>
    <w:autoRedefine/>
    <w:qFormat/>
    <w:uiPriority w:val="0"/>
    <w:pPr>
      <w:ind w:left="200" w:leftChars="200" w:hanging="200" w:hangingChars="200"/>
    </w:pPr>
  </w:style>
  <w:style w:type="paragraph" w:styleId="18">
    <w:name w:val="toc 2"/>
    <w:basedOn w:val="1"/>
    <w:next w:val="1"/>
    <w:qFormat/>
    <w:uiPriority w:val="0"/>
    <w:pPr>
      <w:tabs>
        <w:tab w:val="right" w:leader="dot" w:pos="8296"/>
      </w:tabs>
      <w:ind w:left="420" w:leftChars="200"/>
    </w:pPr>
  </w:style>
  <w:style w:type="paragraph" w:styleId="19">
    <w:name w:val="Body Text 2"/>
    <w:basedOn w:val="1"/>
    <w:qFormat/>
    <w:uiPriority w:val="0"/>
    <w:pPr>
      <w:spacing w:after="120" w:line="480" w:lineRule="auto"/>
      <w:ind w:firstLine="560" w:firstLineChars="200"/>
    </w:p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semiHidden/>
    <w:unhideWhenUsed/>
    <w:uiPriority w:val="99"/>
    <w:rPr>
      <w:sz w:val="24"/>
    </w:rPr>
  </w:style>
  <w:style w:type="paragraph" w:styleId="22">
    <w:name w:val="Title"/>
    <w:basedOn w:val="1"/>
    <w:next w:val="1"/>
    <w:qFormat/>
    <w:uiPriority w:val="99"/>
    <w:pPr>
      <w:spacing w:before="240" w:after="60" w:line="360" w:lineRule="auto"/>
      <w:ind w:firstLine="200" w:firstLineChars="200"/>
      <w:jc w:val="center"/>
      <w:outlineLvl w:val="0"/>
    </w:pPr>
    <w:rPr>
      <w:rFonts w:ascii="Cambria" w:hAnsi="Cambria"/>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b/>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basedOn w:val="25"/>
    <w:semiHidden/>
    <w:unhideWhenUsed/>
    <w:qFormat/>
    <w:uiPriority w:val="99"/>
    <w:rPr>
      <w:sz w:val="21"/>
      <w:szCs w:val="21"/>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1">
    <w:name w:val="Header Char"/>
    <w:basedOn w:val="25"/>
    <w:semiHidden/>
    <w:qFormat/>
    <w:uiPriority w:val="99"/>
    <w:rPr>
      <w:rFonts w:ascii="Times New Roman" w:hAnsi="Times New Roman"/>
      <w:sz w:val="18"/>
      <w:szCs w:val="18"/>
    </w:rPr>
  </w:style>
  <w:style w:type="character" w:customStyle="1" w:styleId="32">
    <w:name w:val="页眉 字符"/>
    <w:link w:val="15"/>
    <w:semiHidden/>
    <w:qFormat/>
    <w:locked/>
    <w:uiPriority w:val="99"/>
    <w:rPr>
      <w:sz w:val="18"/>
    </w:rPr>
  </w:style>
  <w:style w:type="character" w:customStyle="1" w:styleId="33">
    <w:name w:val="Footer Char"/>
    <w:basedOn w:val="25"/>
    <w:autoRedefine/>
    <w:semiHidden/>
    <w:qFormat/>
    <w:uiPriority w:val="99"/>
    <w:rPr>
      <w:rFonts w:ascii="Times New Roman" w:hAnsi="Times New Roman"/>
      <w:sz w:val="18"/>
      <w:szCs w:val="18"/>
    </w:rPr>
  </w:style>
  <w:style w:type="character" w:customStyle="1" w:styleId="34">
    <w:name w:val="页脚 字符"/>
    <w:link w:val="14"/>
    <w:autoRedefine/>
    <w:qFormat/>
    <w:locked/>
    <w:uiPriority w:val="99"/>
    <w:rPr>
      <w:sz w:val="18"/>
    </w:rPr>
  </w:style>
  <w:style w:type="character" w:customStyle="1" w:styleId="35">
    <w:name w:val="Body Text Char"/>
    <w:basedOn w:val="25"/>
    <w:semiHidden/>
    <w:qFormat/>
    <w:uiPriority w:val="99"/>
    <w:rPr>
      <w:rFonts w:ascii="Times New Roman" w:hAnsi="Times New Roman"/>
      <w:szCs w:val="24"/>
    </w:rPr>
  </w:style>
  <w:style w:type="character" w:customStyle="1" w:styleId="36">
    <w:name w:val="正文文本 字符"/>
    <w:link w:val="10"/>
    <w:qFormat/>
    <w:locked/>
    <w:uiPriority w:val="99"/>
    <w:rPr>
      <w:rFonts w:ascii="仿宋_GB2312" w:hAnsi="Times New Roman" w:eastAsia="仿宋_GB2312"/>
      <w:sz w:val="24"/>
    </w:rPr>
  </w:style>
  <w:style w:type="paragraph" w:styleId="37">
    <w:name w:val="List Paragraph"/>
    <w:basedOn w:val="1"/>
    <w:autoRedefine/>
    <w:qFormat/>
    <w:uiPriority w:val="34"/>
    <w:pPr>
      <w:ind w:firstLine="420" w:firstLineChars="200"/>
    </w:pPr>
  </w:style>
  <w:style w:type="character" w:customStyle="1" w:styleId="38">
    <w:name w:val="标题 1 字符"/>
    <w:basedOn w:val="25"/>
    <w:link w:val="5"/>
    <w:qFormat/>
    <w:uiPriority w:val="9"/>
    <w:rPr>
      <w:rFonts w:ascii="Times New Roman" w:hAnsi="Times New Roman"/>
      <w:b/>
      <w:bCs/>
      <w:kern w:val="44"/>
      <w:sz w:val="44"/>
      <w:szCs w:val="44"/>
    </w:rPr>
  </w:style>
  <w:style w:type="character" w:customStyle="1" w:styleId="39">
    <w:name w:val="标题 2 字符"/>
    <w:basedOn w:val="25"/>
    <w:link w:val="6"/>
    <w:qFormat/>
    <w:uiPriority w:val="9"/>
    <w:rPr>
      <w:rFonts w:asciiTheme="majorHAnsi" w:hAnsiTheme="majorHAnsi" w:eastAsiaTheme="majorEastAsia" w:cstheme="majorBidi"/>
      <w:b/>
      <w:bCs/>
      <w:kern w:val="2"/>
      <w:sz w:val="32"/>
      <w:szCs w:val="32"/>
    </w:rPr>
  </w:style>
  <w:style w:type="paragraph" w:customStyle="1" w:styleId="40">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5"/>
    <w:link w:val="13"/>
    <w:autoRedefine/>
    <w:semiHidden/>
    <w:qFormat/>
    <w:uiPriority w:val="99"/>
    <w:rPr>
      <w:rFonts w:ascii="Times New Roman" w:hAnsi="Times New Roman"/>
      <w:kern w:val="2"/>
      <w:sz w:val="18"/>
      <w:szCs w:val="18"/>
    </w:rPr>
  </w:style>
  <w:style w:type="character" w:customStyle="1" w:styleId="42">
    <w:name w:val="标题 3 字符"/>
    <w:basedOn w:val="25"/>
    <w:link w:val="7"/>
    <w:autoRedefine/>
    <w:qFormat/>
    <w:uiPriority w:val="9"/>
    <w:rPr>
      <w:rFonts w:ascii="Times New Roman" w:hAnsi="Times New Roman"/>
      <w:b/>
      <w:bCs/>
      <w:kern w:val="2"/>
      <w:sz w:val="32"/>
      <w:szCs w:val="32"/>
    </w:rPr>
  </w:style>
  <w:style w:type="character" w:customStyle="1" w:styleId="43">
    <w:name w:val="标题 1 Char"/>
    <w:basedOn w:val="25"/>
    <w:link w:val="5"/>
    <w:qFormat/>
    <w:uiPriority w:val="9"/>
    <w:rPr>
      <w:b/>
      <w:bCs/>
      <w:kern w:val="44"/>
      <w:sz w:val="44"/>
      <w:szCs w:val="44"/>
    </w:rPr>
  </w:style>
  <w:style w:type="paragraph" w:customStyle="1" w:styleId="44">
    <w:name w:val="Char Char1 Char"/>
    <w:basedOn w:val="1"/>
    <w:qFormat/>
    <w:uiPriority w:val="0"/>
  </w:style>
  <w:style w:type="paragraph" w:customStyle="1" w:styleId="45">
    <w:name w:val="p0"/>
    <w:basedOn w:val="1"/>
    <w:qFormat/>
    <w:uiPriority w:val="0"/>
    <w:pPr>
      <w:widowControl/>
      <w:spacing w:line="365" w:lineRule="atLeast"/>
      <w:ind w:left="1"/>
      <w:textAlignment w:val="bottom"/>
    </w:pPr>
    <w:rPr>
      <w:kern w:val="0"/>
      <w:sz w:val="20"/>
      <w:szCs w:val="20"/>
    </w:rPr>
  </w:style>
  <w:style w:type="paragraph" w:customStyle="1" w:styleId="46">
    <w:name w:val="列出段落1"/>
    <w:basedOn w:val="1"/>
    <w:qFormat/>
    <w:uiPriority w:val="99"/>
    <w:pPr>
      <w:ind w:firstLine="420" w:firstLineChars="200"/>
    </w:pPr>
  </w:style>
  <w:style w:type="paragraph" w:customStyle="1" w:styleId="47">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8">
    <w:name w:val="NormalCharacter"/>
    <w:qFormat/>
    <w:uiPriority w:val="99"/>
  </w:style>
  <w:style w:type="paragraph" w:customStyle="1" w:styleId="4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NUL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5078</Words>
  <Characters>5585</Characters>
  <Lines>48</Lines>
  <Paragraphs>13</Paragraphs>
  <TotalTime>3</TotalTime>
  <ScaleCrop>false</ScaleCrop>
  <LinksUpToDate>false</LinksUpToDate>
  <CharactersWithSpaces>5736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纯壹</cp:lastModifiedBy>
  <cp:lastPrinted>2021-09-26T08:39:00Z</cp:lastPrinted>
  <dcterms:modified xsi:type="dcterms:W3CDTF">2025-10-10T01:30:24Z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5F5EAE46023B41039AB8027ACF0B1765_13</vt:lpwstr>
  </property>
  <property fmtid="{D5CDD505-2E9C-101B-9397-08002B2CF9AE}" pid="4" name="KSOTemplateDocerSaveRecord">
    <vt:lpwstr>eyJoZGlkIjoiZjM2MTI4MDhmM2UyNGIzZjcwYmEwOWU4Mjc1YjdlNTMiLCJ1c2VySWQiOiIxNTc0NDg2MjM4In0=</vt:lpwstr>
  </property>
</Properties>
</file>